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Liberation Serif" w:hAnsi="Liberation Serif"/>
          <w:b/>
          <w:bCs/>
          <w:sz w:val="26"/>
          <w:szCs w:val="26"/>
        </w:rPr>
      </w:pPr>
      <w:r>
        <w:rPr>
          <w:rFonts w:ascii="Liberation Serif" w:hAnsi="Liberation Serif"/>
          <w:b/>
          <w:bCs/>
          <w:sz w:val="26"/>
          <w:szCs w:val="26"/>
        </w:rPr>
        <w:t>ПРОЕКТ</w:t>
      </w:r>
    </w:p>
    <w:p>
      <w:pPr>
        <w:pStyle w:val="Normal"/>
        <w:jc w:val="center"/>
        <w:rPr>
          <w:b/>
          <w:sz w:val="28"/>
        </w:rPr>
      </w:pPr>
      <w:r>
        <w:rPr/>
        <w:drawing>
          <wp:inline distT="0" distB="0" distL="0" distR="0">
            <wp:extent cx="768350" cy="1031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45" t="-380" r="-545" b="-380"/>
                    <a:stretch>
                      <a:fillRect/>
                    </a:stretch>
                  </pic:blipFill>
                  <pic:spPr bwMode="auto">
                    <a:xfrm>
                      <a:off x="0" y="0"/>
                      <a:ext cx="768350" cy="1031875"/>
                    </a:xfrm>
                    <a:prstGeom prst="rect">
                      <a:avLst/>
                    </a:prstGeom>
                  </pic:spPr>
                </pic:pic>
              </a:graphicData>
            </a:graphic>
          </wp:inline>
        </w:drawing>
      </w:r>
    </w:p>
    <w:p>
      <w:pPr>
        <w:pStyle w:val="Style8"/>
        <w:spacing w:before="0" w:after="0"/>
        <w:jc w:val="center"/>
        <w:rPr>
          <w:rFonts w:ascii="Liberation Serif;Times New Roman" w:hAnsi="Liberation Serif;Times New Roman" w:cs="Liberation Serif;Times New Roman"/>
          <w:b/>
          <w:bCs/>
          <w:sz w:val="26"/>
          <w:szCs w:val="26"/>
        </w:rPr>
      </w:pPr>
      <w:r>
        <w:rPr>
          <w:rFonts w:cs="Liberation Serif;Times New Roman" w:ascii="Liberation Serif;Times New Roman" w:hAnsi="Liberation Serif;Times New Roman"/>
          <w:b/>
          <w:bCs/>
          <w:sz w:val="26"/>
          <w:szCs w:val="26"/>
        </w:rPr>
        <w:t>АДМИНИСТРАЦИИ ШАЛИНСКОГО МУНИЦИПАЛЬНОГО ОКРУГА</w:t>
      </w:r>
    </w:p>
    <w:p>
      <w:pPr>
        <w:pStyle w:val="Heading1"/>
        <w:ind w:hanging="0" w:left="0" w:right="0"/>
        <w:rPr>
          <w:rFonts w:ascii="Liberation Serif;Times New Roman" w:hAnsi="Liberation Serif;Times New Roman" w:cs="Liberation Serif;Times New Roman"/>
          <w:sz w:val="26"/>
          <w:szCs w:val="26"/>
        </w:rPr>
      </w:pPr>
      <w:r>
        <w:rPr>
          <w:rFonts w:cs="Liberation Serif;Times New Roman" w:ascii="Liberation Serif;Times New Roman" w:hAnsi="Liberation Serif;Times New Roman"/>
          <w:sz w:val="26"/>
          <w:szCs w:val="26"/>
        </w:rPr>
        <w:t>П О С Т А Н О В Л Е Н И Е</w:t>
      </w:r>
    </w:p>
    <w:tbl>
      <w:tblPr>
        <w:tblW w:w="10152"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10152"/>
      </w:tblGrid>
      <w:tr>
        <w:trPr>
          <w:trHeight w:val="216" w:hRule="atLeast"/>
        </w:trPr>
        <w:tc>
          <w:tcPr>
            <w:tcW w:w="10152" w:type="dxa"/>
            <w:tcBorders>
              <w:top w:val="single" w:sz="24" w:space="0" w:color="000000"/>
            </w:tcBorders>
          </w:tcPr>
          <w:p>
            <w:pPr>
              <w:pStyle w:val="Normal"/>
              <w:rPr>
                <w:rFonts w:ascii="Liberation Serif;Times New Roman" w:hAnsi="Liberation Serif;Times New Roman" w:cs="Liberation Serif;Times New Roman"/>
                <w:sz w:val="26"/>
                <w:szCs w:val="26"/>
              </w:rPr>
            </w:pPr>
            <w:r>
              <w:rPr>
                <w:rFonts w:cs="Liberation Serif;Times New Roman" w:ascii="Liberation Serif;Times New Roman" w:hAnsi="Liberation Serif;Times New Roman"/>
                <w:sz w:val="26"/>
                <w:szCs w:val="26"/>
              </w:rPr>
            </w:r>
          </w:p>
        </w:tc>
      </w:tr>
    </w:tbl>
    <w:p>
      <w:pPr>
        <w:pStyle w:val="Normal"/>
        <w:rPr>
          <w:rFonts w:ascii="Liberation Serif" w:hAnsi="Liberation Serif"/>
          <w:sz w:val="26"/>
          <w:szCs w:val="26"/>
        </w:rPr>
      </w:pPr>
      <w:r>
        <w:rPr>
          <w:rFonts w:cs="Liberation Serif;Times New Roman" w:ascii="Liberation Serif" w:hAnsi="Liberation Serif"/>
          <w:sz w:val="26"/>
          <w:szCs w:val="26"/>
        </w:rPr>
        <w:t xml:space="preserve">от       декабря 2025 года №                                                             </w:t>
      </w:r>
    </w:p>
    <w:p>
      <w:pPr>
        <w:pStyle w:val="Normal"/>
        <w:rPr>
          <w:rFonts w:ascii="Liberation Serif" w:hAnsi="Liberation Serif" w:cs="Liberation Serif;Times New Roman"/>
          <w:sz w:val="26"/>
          <w:szCs w:val="26"/>
        </w:rPr>
      </w:pPr>
      <w:r>
        <w:rPr>
          <w:rFonts w:cs="Liberation Serif;Times New Roman" w:ascii="Liberation Serif" w:hAnsi="Liberation Serif"/>
          <w:sz w:val="26"/>
          <w:szCs w:val="26"/>
        </w:rPr>
      </w:r>
    </w:p>
    <w:p>
      <w:pPr>
        <w:pStyle w:val="Normal"/>
        <w:rPr>
          <w:rFonts w:ascii="Liberation Serif" w:hAnsi="Liberation Serif"/>
          <w:sz w:val="26"/>
          <w:szCs w:val="26"/>
        </w:rPr>
      </w:pPr>
      <w:r>
        <w:rPr>
          <w:rFonts w:cs="Liberation Serif;Times New Roman" w:ascii="Liberation Serif" w:hAnsi="Liberation Serif"/>
          <w:b w:val="false"/>
          <w:bCs w:val="false"/>
          <w:sz w:val="26"/>
          <w:szCs w:val="26"/>
        </w:rPr>
        <w:t>пгт. Шаля</w:t>
      </w:r>
    </w:p>
    <w:p>
      <w:pPr>
        <w:pStyle w:val="Normal"/>
        <w:rPr>
          <w:rFonts w:ascii="Liberation Serif" w:hAnsi="Liberation Serif"/>
          <w:sz w:val="26"/>
          <w:szCs w:val="26"/>
        </w:rPr>
      </w:pPr>
      <w:r>
        <w:rPr>
          <w:rFonts w:ascii="Liberation Serif" w:hAnsi="Liberation Serif"/>
          <w:sz w:val="26"/>
          <w:szCs w:val="26"/>
        </w:rPr>
      </w:r>
    </w:p>
    <w:p>
      <w:pPr>
        <w:pStyle w:val="Normal"/>
        <w:widowControl w:val="false"/>
        <w:jc w:val="center"/>
        <w:rPr>
          <w:rFonts w:ascii="Liberation Serif" w:hAnsi="Liberation Serif"/>
          <w:sz w:val="26"/>
          <w:szCs w:val="26"/>
        </w:rPr>
      </w:pPr>
      <w:r>
        <w:rPr>
          <w:rFonts w:ascii="Liberation Serif" w:hAnsi="Liberation Serif"/>
          <w:b/>
          <w:i/>
          <w:sz w:val="26"/>
          <w:szCs w:val="26"/>
        </w:rPr>
        <w:t>О Шалинском звене Свердловской области подсистемы единой государственной системы предупреждения и ликвидации чрезвычайных ситуаций</w:t>
      </w:r>
    </w:p>
    <w:p>
      <w:pPr>
        <w:pStyle w:val="Normal"/>
        <w:jc w:val="both"/>
        <w:rPr>
          <w:rFonts w:ascii="Liberation Serif" w:hAnsi="Liberation Serif"/>
          <w:sz w:val="26"/>
          <w:szCs w:val="26"/>
        </w:rPr>
      </w:pPr>
      <w:r>
        <w:rPr>
          <w:rFonts w:ascii="Liberation Serif" w:hAnsi="Liberation Serif"/>
          <w:sz w:val="26"/>
          <w:szCs w:val="26"/>
        </w:rPr>
      </w:r>
    </w:p>
    <w:p>
      <w:pPr>
        <w:pStyle w:val="Normal"/>
        <w:suppressAutoHyphens w:val="true"/>
        <w:jc w:val="both"/>
        <w:rPr>
          <w:rFonts w:ascii="Liberation Serif" w:hAnsi="Liberation Serif"/>
          <w:sz w:val="26"/>
          <w:szCs w:val="26"/>
        </w:rPr>
      </w:pPr>
      <w:r>
        <w:rPr>
          <w:rFonts w:ascii="Liberation Serif" w:hAnsi="Liberation Serif"/>
          <w:sz w:val="26"/>
          <w:szCs w:val="26"/>
        </w:rPr>
        <w:tab/>
        <w:t>В соответствии с Федеральным конституционным законом от 30 мая 2001 года № 3-ФКЗ «О чрезвычайном положении», Постановлениями Правительства Российской Федерации от 30.12.2003 года № 794 «О единой государственной системе предупреждения и ликвидации чрезвычайных ситуаций», Законом Свердловской области от 27.12.2004 года № 221-ОЗ «О защите населения и территорий от чрезвычайных ситуаций природного и техногенного характера в Свердловской области», Постановлением Правительства Свердловской области от 28.02.2005 года № 139-ПП «О Свердловской областной подсистеме единой государственной системы предупреждения и ликвидации чрезвычайных ситуаций», в целях совершенствования координации действий органов управления, сил и средств органов местного самоуправления и организаций Шалинского муниципального округа в области защиты населения и территории Шалинского муниципального округа от чрезвычайных ситуаций и осуществления своей деятельности в части выполнения задач, предусмотренных Федеральным законом от 21 декабря 1994 года № 68-ФЗ «О защите населения и территорий от чрезвычайных ситуаций природного и техногенного характера», Уставом Шалинского муниципального округа, администрация Шалинского муниципального округа</w:t>
      </w:r>
    </w:p>
    <w:p>
      <w:pPr>
        <w:pStyle w:val="Normal"/>
        <w:widowControl w:val="false"/>
        <w:suppressAutoHyphens w:val="true"/>
        <w:jc w:val="both"/>
        <w:rPr>
          <w:rFonts w:ascii="Liberation Serif" w:hAnsi="Liberation Serif"/>
          <w:sz w:val="26"/>
          <w:szCs w:val="26"/>
        </w:rPr>
      </w:pPr>
      <w:r>
        <w:rPr>
          <w:rFonts w:ascii="Liberation Serif" w:hAnsi="Liberation Serif"/>
          <w:sz w:val="26"/>
          <w:szCs w:val="26"/>
        </w:rPr>
        <w:t xml:space="preserve">              </w:t>
      </w:r>
      <w:r>
        <w:rPr>
          <w:rFonts w:ascii="Liberation Serif" w:hAnsi="Liberation Serif"/>
          <w:sz w:val="26"/>
          <w:szCs w:val="26"/>
        </w:rPr>
        <w:t>ПОСТАНОВЛЯЕТ:</w:t>
      </w:r>
    </w:p>
    <w:p>
      <w:pPr>
        <w:pStyle w:val="Normal"/>
        <w:widowControl w:val="false"/>
        <w:suppressAutoHyphens w:val="true"/>
        <w:jc w:val="both"/>
        <w:rPr>
          <w:rFonts w:ascii="Liberation Serif" w:hAnsi="Liberation Serif"/>
          <w:sz w:val="26"/>
          <w:szCs w:val="26"/>
        </w:rPr>
      </w:pPr>
      <w:r>
        <w:rPr>
          <w:rFonts w:ascii="Liberation Serif" w:hAnsi="Liberation Serif"/>
          <w:sz w:val="26"/>
          <w:szCs w:val="26"/>
        </w:rPr>
        <w:tab/>
        <w:t>1. Утвердить положение о Шалинском звене Свердловской области подсистемы единой государственной системы предупреждения и ликвидации чрезвычайных ситуаций (прилагается).</w:t>
      </w:r>
    </w:p>
    <w:p>
      <w:pPr>
        <w:pStyle w:val="Normal"/>
        <w:suppressAutoHyphens w:val="true"/>
        <w:jc w:val="both"/>
        <w:rPr>
          <w:rFonts w:ascii="Liberation Serif" w:hAnsi="Liberation Serif"/>
          <w:sz w:val="26"/>
          <w:szCs w:val="26"/>
        </w:rPr>
      </w:pPr>
      <w:r>
        <w:rPr>
          <w:rFonts w:ascii="Liberation Serif" w:hAnsi="Liberation Serif"/>
          <w:sz w:val="26"/>
          <w:szCs w:val="26"/>
        </w:rPr>
        <w:tab/>
        <w:t xml:space="preserve">2. </w:t>
      </w:r>
      <w:r>
        <w:rPr>
          <w:rFonts w:eastAsia="Calibri" w:cs="Liberation Serif;Times New Roman" w:ascii="Liberation Serif" w:hAnsi="Liberation Serif"/>
          <w:sz w:val="26"/>
          <w:szCs w:val="26"/>
          <w:lang w:eastAsia="en-US"/>
        </w:rPr>
        <w:t>Признать утратившим силу постановление администрации Шалинского городского округа от 17.12.2017 года № 1009 «</w:t>
      </w:r>
      <w:r>
        <w:rPr>
          <w:rFonts w:eastAsia="Calibri" w:cs="Liberation Serif;Times New Roman" w:ascii="Liberation Serif" w:hAnsi="Liberation Serif"/>
          <w:b w:val="false"/>
          <w:bCs w:val="false"/>
          <w:i w:val="false"/>
          <w:iCs w:val="false"/>
          <w:sz w:val="26"/>
          <w:szCs w:val="26"/>
          <w:lang w:eastAsia="en-US"/>
        </w:rPr>
        <w:t>О Шалинском  звене территориальной подсистемы единой государственной системы предупреждения и ликвидации чрезвычайных ситуаций</w:t>
      </w:r>
      <w:r>
        <w:rPr>
          <w:rFonts w:eastAsia="Calibri" w:cs="Liberation Serif;Times New Roman" w:ascii="Liberation Serif" w:hAnsi="Liberation Serif"/>
          <w:sz w:val="26"/>
          <w:szCs w:val="26"/>
          <w:lang w:eastAsia="en-US"/>
        </w:rPr>
        <w:t>».</w:t>
      </w:r>
    </w:p>
    <w:p>
      <w:pPr>
        <w:pStyle w:val="Normal"/>
        <w:widowControl w:val="false"/>
        <w:suppressAutoHyphens w:val="true"/>
        <w:jc w:val="both"/>
        <w:rPr>
          <w:rFonts w:ascii="Liberation Serif" w:hAnsi="Liberation Serif"/>
          <w:sz w:val="26"/>
          <w:szCs w:val="26"/>
        </w:rPr>
      </w:pPr>
      <w:r>
        <w:rPr>
          <w:rFonts w:ascii="Liberation Serif" w:hAnsi="Liberation Serif"/>
          <w:sz w:val="26"/>
          <w:szCs w:val="26"/>
        </w:rPr>
        <w:tab/>
        <w:t>3. Настоящее постановление опубликовать в газете «Шалинский вестник» и разместить на официальном сайте администрации Шалинского муниципального округа.</w:t>
      </w:r>
    </w:p>
    <w:p>
      <w:pPr>
        <w:pStyle w:val="Normal"/>
        <w:widowControl w:val="false"/>
        <w:suppressAutoHyphens w:val="true"/>
        <w:jc w:val="both"/>
        <w:rPr>
          <w:rFonts w:ascii="Liberation Serif" w:hAnsi="Liberation Serif"/>
          <w:sz w:val="26"/>
          <w:szCs w:val="26"/>
        </w:rPr>
      </w:pPr>
      <w:r>
        <w:rPr>
          <w:rFonts w:ascii="Liberation Serif" w:hAnsi="Liberation Serif"/>
          <w:sz w:val="26"/>
          <w:szCs w:val="26"/>
        </w:rPr>
        <w:tab/>
        <w:t>4.  Контроль за исполнением настоящего постановления возложить на первого заместителя главы муниципального округа В.С. Шмырина.</w:t>
      </w:r>
    </w:p>
    <w:p>
      <w:pPr>
        <w:pStyle w:val="Normal"/>
        <w:widowControl w:val="false"/>
        <w:suppressAutoHyphens w:val="true"/>
        <w:jc w:val="both"/>
        <w:rPr>
          <w:rFonts w:ascii="Liberation Serif" w:hAnsi="Liberation Serif"/>
          <w:sz w:val="26"/>
          <w:szCs w:val="26"/>
        </w:rPr>
      </w:pPr>
      <w:r>
        <w:rPr>
          <w:rFonts w:ascii="Liberation Serif" w:hAnsi="Liberation Serif"/>
          <w:sz w:val="26"/>
          <w:szCs w:val="26"/>
        </w:rPr>
      </w:r>
    </w:p>
    <w:p>
      <w:pPr>
        <w:pStyle w:val="Normal"/>
        <w:widowControl w:val="false"/>
        <w:jc w:val="both"/>
        <w:rPr>
          <w:rFonts w:ascii="Liberation Serif" w:hAnsi="Liberation Serif"/>
          <w:sz w:val="26"/>
          <w:szCs w:val="26"/>
        </w:rPr>
      </w:pPr>
      <w:r>
        <w:rPr>
          <w:rFonts w:ascii="Liberation Serif" w:hAnsi="Liberation Serif"/>
          <w:sz w:val="26"/>
          <w:szCs w:val="26"/>
        </w:rPr>
        <w:t xml:space="preserve">Главы Шалинского </w:t>
      </w:r>
    </w:p>
    <w:p>
      <w:pPr>
        <w:pStyle w:val="Normal"/>
        <w:widowControl w:val="false"/>
        <w:jc w:val="both"/>
        <w:rPr>
          <w:rFonts w:ascii="Liberation Serif" w:hAnsi="Liberation Serif"/>
          <w:sz w:val="26"/>
          <w:szCs w:val="26"/>
        </w:rPr>
      </w:pPr>
      <w:r>
        <w:rPr>
          <w:rFonts w:ascii="Liberation Serif" w:hAnsi="Liberation Serif"/>
          <w:sz w:val="26"/>
          <w:szCs w:val="26"/>
        </w:rPr>
        <w:t>муниципального округа                                                                                 А.П. Богатырев</w:t>
      </w:r>
    </w:p>
    <w:p>
      <w:pPr>
        <w:pStyle w:val="Normal"/>
        <w:widowControl w:val="false"/>
        <w:jc w:val="both"/>
        <w:rPr>
          <w:rFonts w:ascii="Liberation Serif" w:hAnsi="Liberation Serif"/>
          <w:sz w:val="26"/>
          <w:szCs w:val="26"/>
        </w:rPr>
      </w:pPr>
      <w:r>
        <w:rPr>
          <w:rFonts w:ascii="Liberation Serif" w:hAnsi="Liberation Serif"/>
          <w:sz w:val="26"/>
          <w:szCs w:val="26"/>
        </w:rPr>
      </w:r>
    </w:p>
    <w:p>
      <w:pPr>
        <w:pStyle w:val="Normal"/>
        <w:widowControl w:val="false"/>
        <w:numPr>
          <w:ilvl w:val="0"/>
          <w:numId w:val="0"/>
        </w:numPr>
        <w:ind w:hanging="0" w:left="0" w:right="0"/>
        <w:jc w:val="right"/>
        <w:outlineLvl w:val="0"/>
        <w:rPr>
          <w:rFonts w:ascii="Liberation Serif" w:hAnsi="Liberation Serif" w:eastAsia="Calibri" w:cs="Liberation Serif;Times New Roman"/>
          <w:sz w:val="26"/>
          <w:szCs w:val="26"/>
          <w:lang w:eastAsia="en-US"/>
        </w:rPr>
      </w:pPr>
      <w:r>
        <w:rPr>
          <w:rFonts w:eastAsia="Calibri" w:cs="Liberation Serif;Times New Roman" w:ascii="Liberation Serif" w:hAnsi="Liberation Serif"/>
          <w:sz w:val="26"/>
          <w:szCs w:val="26"/>
          <w:lang w:eastAsia="en-US"/>
        </w:rPr>
        <w:t>Утверждено</w:t>
      </w:r>
    </w:p>
    <w:p>
      <w:pPr>
        <w:pStyle w:val="Normal"/>
        <w:widowControl w:val="false"/>
        <w:jc w:val="right"/>
        <w:rPr>
          <w:rFonts w:ascii="Liberation Serif" w:hAnsi="Liberation Serif" w:eastAsia="Calibri" w:cs="Liberation Serif;Times New Roman"/>
          <w:sz w:val="26"/>
          <w:szCs w:val="26"/>
          <w:lang w:eastAsia="en-US"/>
        </w:rPr>
      </w:pPr>
      <w:r>
        <w:rPr>
          <w:rFonts w:eastAsia="Calibri" w:cs="Liberation Serif;Times New Roman" w:ascii="Liberation Serif" w:hAnsi="Liberation Serif"/>
          <w:sz w:val="26"/>
          <w:szCs w:val="26"/>
          <w:lang w:eastAsia="en-US"/>
        </w:rPr>
        <w:t>постановлением администрации</w:t>
      </w:r>
    </w:p>
    <w:p>
      <w:pPr>
        <w:pStyle w:val="Normal"/>
        <w:widowControl w:val="false"/>
        <w:jc w:val="right"/>
        <w:rPr>
          <w:rFonts w:ascii="Liberation Serif" w:hAnsi="Liberation Serif" w:eastAsia="Calibri" w:cs="Liberation Serif;Times New Roman"/>
          <w:sz w:val="26"/>
          <w:szCs w:val="26"/>
          <w:lang w:eastAsia="en-US"/>
        </w:rPr>
      </w:pPr>
      <w:r>
        <w:rPr>
          <w:rFonts w:eastAsia="Calibri" w:cs="Liberation Serif;Times New Roman" w:ascii="Liberation Serif" w:hAnsi="Liberation Serif"/>
          <w:sz w:val="26"/>
          <w:szCs w:val="26"/>
          <w:lang w:eastAsia="en-US"/>
        </w:rPr>
        <w:t>Шалинского муниципального округа</w:t>
      </w:r>
    </w:p>
    <w:p>
      <w:pPr>
        <w:pStyle w:val="Normal"/>
        <w:widowControl w:val="false"/>
        <w:jc w:val="right"/>
        <w:rPr>
          <w:rFonts w:ascii="Liberation Serif" w:hAnsi="Liberation Serif" w:eastAsia="Calibri" w:cs="Liberation Serif;Times New Roman"/>
          <w:sz w:val="26"/>
          <w:szCs w:val="26"/>
          <w:lang w:eastAsia="en-US"/>
        </w:rPr>
      </w:pPr>
      <w:r>
        <w:rPr>
          <w:rFonts w:eastAsia="Calibri" w:cs="Liberation Serif;Times New Roman" w:ascii="Liberation Serif" w:hAnsi="Liberation Serif"/>
          <w:sz w:val="26"/>
          <w:szCs w:val="26"/>
          <w:lang w:eastAsia="en-US"/>
        </w:rPr>
        <w:t>от ____ декабря 2025 г. № ____</w:t>
      </w:r>
    </w:p>
    <w:p>
      <w:pPr>
        <w:pStyle w:val="Normal"/>
        <w:widowControl w:val="false"/>
        <w:jc w:val="right"/>
        <w:rPr>
          <w:rFonts w:ascii="Liberation Serif" w:hAnsi="Liberation Serif" w:eastAsia="Calibri" w:cs="Liberation Serif;Times New Roman"/>
          <w:sz w:val="26"/>
          <w:szCs w:val="26"/>
          <w:lang w:eastAsia="en-US"/>
        </w:rPr>
      </w:pPr>
      <w:r>
        <w:rPr>
          <w:rFonts w:eastAsia="Calibri" w:cs="Liberation Serif;Times New Roman" w:ascii="Liberation Serif" w:hAnsi="Liberation Serif"/>
          <w:sz w:val="26"/>
          <w:szCs w:val="26"/>
          <w:lang w:eastAsia="en-US"/>
        </w:rPr>
      </w:r>
    </w:p>
    <w:p>
      <w:pPr>
        <w:pStyle w:val="Normal"/>
        <w:widowControl w:val="false"/>
        <w:suppressAutoHyphens w:val="true"/>
        <w:jc w:val="center"/>
        <w:rPr>
          <w:rFonts w:ascii="Liberation Serif" w:hAnsi="Liberation Serif"/>
          <w:sz w:val="26"/>
          <w:szCs w:val="26"/>
        </w:rPr>
      </w:pPr>
      <w:r>
        <w:rPr>
          <w:rFonts w:ascii="Liberation Serif" w:hAnsi="Liberation Serif"/>
          <w:sz w:val="26"/>
          <w:szCs w:val="26"/>
        </w:rPr>
        <w:t>Положение о Шалинском звене Свердловской области подсистемы единой государственной системы предупреждения и ликвидации чрезвычайных ситуаций</w:t>
      </w:r>
    </w:p>
    <w:p>
      <w:pPr>
        <w:pStyle w:val="Normal"/>
        <w:widowControl w:val="false"/>
        <w:suppressAutoHyphens w:val="true"/>
        <w:jc w:val="center"/>
        <w:rPr>
          <w:rFonts w:ascii="Liberation Serif" w:hAnsi="Liberation Serif"/>
          <w:sz w:val="26"/>
          <w:szCs w:val="26"/>
        </w:rPr>
      </w:pPr>
      <w:r>
        <w:rPr>
          <w:rFonts w:ascii="Liberation Serif" w:hAnsi="Liberation Serif"/>
          <w:sz w:val="26"/>
          <w:szCs w:val="26"/>
        </w:rPr>
      </w:r>
    </w:p>
    <w:p>
      <w:pPr>
        <w:pStyle w:val="ConsPlusNormal"/>
        <w:ind w:firstLine="540" w:left="0"/>
        <w:jc w:val="both"/>
        <w:rPr>
          <w:rFonts w:ascii="Liberation Serif" w:hAnsi="Liberation Serif"/>
          <w:sz w:val="26"/>
          <w:szCs w:val="26"/>
        </w:rPr>
      </w:pPr>
      <w:r>
        <w:rPr>
          <w:rFonts w:ascii="Liberation Serif" w:hAnsi="Liberation Serif"/>
          <w:sz w:val="26"/>
          <w:szCs w:val="26"/>
        </w:rPr>
        <w:t>1. Положение о Шалинском муниципальном звене Свердловской областной подсистемы единой государственной системы предупреждения и ликвидации чрезвычайных ситуаций (далее - Положение) определяет порядок организации и функционирования Шалинского муниципального звена Свердловской областной подсистемы единой государственной системы предупреждения и ликвидации чрезвычайных ситуаций на территории Шалинского муниципального округа (далее - Шалинское муниципальное звено РСЧС).</w:t>
      </w:r>
    </w:p>
    <w:p>
      <w:pPr>
        <w:pStyle w:val="ConsPlusNormal"/>
        <w:spacing w:before="0" w:after="0"/>
        <w:ind w:firstLine="540" w:left="0"/>
        <w:jc w:val="both"/>
        <w:rPr/>
      </w:pPr>
      <w:r>
        <w:rPr>
          <w:rFonts w:ascii="Liberation Serif" w:hAnsi="Liberation Serif"/>
          <w:sz w:val="26"/>
          <w:szCs w:val="26"/>
        </w:rPr>
        <w:t>2. Шалинское муниципальное звено РСЧС объединяет органы управления, силы и средства федеральных органов исполнительной власти, органов исполнительной власти Свердловской области, органов местного самоуправления Шалинского муниципального округа и организаций, осуществляющих свою деятельность на территории Шалинского муниципального округа,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и осуществляет свою деятельность в целях выполнения задач, предусмотренных Федеральным законом от 21 декабря 1994 года № 68-ФЗ «О защите населения и территорий от чрезвычайных ситуаций природного и техногенного характера».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 Шалинское муниципальное звено РСЧС в соответствии с административно-территориальным и территориально-объектовым делением действует на муниципальном (в пределах территории муниципального образования) и объектовом уровнях (в пределах территории организации).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 На каждом уровне Шалинского муниципального звена РСЧС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5. Системы оповещения населения о чрезвычайных ситуациях, в том числе системы экстренного оповещения населения об угрозе возникновения или о возникновении чрезвычайных ситуаций, создаются на муниципальном и объектовом уровнях единой системы.</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6. Координационными органами Шалинского муниципального звена РСЧС являются: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на муниципальном уровне - комиссия по предупреждению и ликвидации чрезвычайных ситуаций и обеспечению пожарной безопасности Шалинского муниципального округа (далее - КЧС и ОПБ Шалинского муниципального округа);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на объектовом уровне - комиссии по предупреждению и ликвидации чрезвычайных ситуаций и обеспечению пожарной безопасности организаций (далее - КЧС и ОПБ организаций), осуществляющих свою деятельность на территории Шалинского муниципального округа,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pPr>
        <w:pStyle w:val="ConsPlusNormal"/>
        <w:spacing w:before="160" w:after="0"/>
        <w:ind w:firstLine="540" w:left="0"/>
        <w:jc w:val="both"/>
        <w:rPr>
          <w:rFonts w:ascii="Liberation Serif" w:hAnsi="Liberation Serif"/>
          <w:sz w:val="26"/>
          <w:szCs w:val="26"/>
        </w:rPr>
      </w:pPr>
      <w:r>
        <w:rPr>
          <w:rFonts w:ascii="Liberation Serif" w:hAnsi="Liberation Serif"/>
          <w:sz w:val="26"/>
          <w:szCs w:val="26"/>
        </w:rPr>
        <w:t>7. Образование, реорганизация и упразднение, утверждение руководителей и персонального состава и определение компетенции: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КЧС и ОПБ Шалинского муниципального округа осуществляется постановлением администрации Шалинского муниципального округа;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КЧС и ОПБ организаций, осуществляющих свою деятельность на территории Шалинского муниципального округа,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осуществляется решением их руководителей.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8. Компетенция комиссий по предупреждению и ликвидации чрезвычайных ситуаций и обеспечению пожарной безопасности определяется в положениях о них или в решениях об их образовании.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КЧС и ОПБ Шалинского муниципального округа возглавляет глава Шалинского муниципального округа, комиссии по предупреждению и ликвидации чрезвычайных ситуаций и обеспечению пожарной безопасности организаций, осуществляющих свою деятельность на территории Шалинского муниципального округа,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указанных организаций или их заместители.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9.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Шалинского муниципального округа;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координация деятельности органов управления и сил федеральных органов исполнительной власти, государственных корпораций, органов исполнительной власти Свердловской области, органов местного самоуправления Шалинского муниципального округа и организаций, осуществляющих свою деятельность на территории Шалинского муниципального округа, по предупреждению и ликвидации чрезвычайных ситуаций на соответствующих уровнях единой системы;</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 обеспечение согласованности действий федеральных органов исполнительной власти, государственных корпораций, органов исполнительной власти Свердловской области, органов местного самоуправления Шалинского муниципального округа и организаций, осуществляющих свою деятельность на территории Шалинского муниципального округа,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действующим законодательством;</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5) рассмотрение вопросов об организации оповещения и информирования населения о чрезвычайных ситуациях.</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10. Постоянно действующими органами управления Шалинского муниципального звена РСЧС являются: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на муниципальном уровне - отдел по делам гражданской обороны, чрезвычайным ситуациям и мобилизационной подготовки администрации Шалинского муниципального округа (далее — Отдел ГО, ЧС);</w:t>
      </w:r>
    </w:p>
    <w:p>
      <w:pPr>
        <w:pStyle w:val="ConsPlusNormal"/>
        <w:spacing w:before="160" w:after="0"/>
        <w:ind w:firstLine="540" w:left="0"/>
        <w:jc w:val="both"/>
        <w:rPr>
          <w:rFonts w:ascii="Liberation Serif" w:hAnsi="Liberation Serif"/>
          <w:sz w:val="26"/>
          <w:szCs w:val="26"/>
        </w:rPr>
      </w:pPr>
      <w:r>
        <w:rPr>
          <w:rFonts w:ascii="Liberation Serif" w:hAnsi="Liberation Serif"/>
          <w:sz w:val="26"/>
          <w:szCs w:val="26"/>
        </w:rPr>
        <w:t>2) на объектовом уровне - структурные подразделения организаций, осуществляющих свою деятельность на территории Шалинского муниципального округа, уполномоченных на решение задач в области защиты населения и территорий от чрезвычайных ситуаций и гражданской обороны.</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11. Компетенция и полномочия постоянно действующих органов управления Березовское муниципальное звено РСЧС определяются соответствующими положениями о них или уставами указанных органов управления.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12. Органами повседневного управления Шалинского муниципального звена РСЧС являются: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на муниципальном уровне — МКУ «ЕДДС Шалинского муниципального округа» (далее - ЕДДС Шалинского МО),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Шалинского муниципального округа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на объектовом уровне - подразделения организаций, осуществляющих свою деятельность на территории Шалинского муниципального округа,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13. Компетенция и полномочия органов повседневного управления Шалинского муниципального звена РСЧС определяются соответствующими положениями о них или уставами указанных органов управления.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14. Обеспечение координации деятельности органов повседневного управления Шалинского муниципального звена РСЧС и гражданской обороны (в том числе управления силами и средствами Шалинского муниципального звена РСЧС, силами и средствами гражданской обороны), организация информационного взаимодействия федеральных органов исполнительной власти, государственных корпораций, исполнительных органов государственной власти Свердловской области, органов местного самоуправления Шалинского муниципального округа, и организаций, осуществляющих свою деятельность на территории Шалинского муниципального округа,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осуществляет ЕДДС Шалинского МО.</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15. Размещение органов управления Шалинского муниципального звена РСЧС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16. К силам и средствам Шалинского муниципального звено РСЧС относятся специально подготовленные силы и средства федеральных органов исполнительной власти, государственных корпораций, органов исполнительной власти Свердловской области, органов местного самоуправления Шалинского муниципального округа, организаций и общественных объединений, осуществляющих свою деятельность на территории Шалинского муниципального округа, предназначенные и выделяемые (привлекаемые) для предупреждения и ликвидации чрезвычайных ситуаций.</w:t>
      </w:r>
    </w:p>
    <w:p>
      <w:pPr>
        <w:pStyle w:val="ConsPlusNormal"/>
        <w:spacing w:before="160" w:after="0"/>
        <w:ind w:firstLine="540" w:left="0"/>
        <w:jc w:val="both"/>
        <w:rPr>
          <w:rFonts w:ascii="Liberation Serif" w:hAnsi="Liberation Serif"/>
          <w:sz w:val="26"/>
          <w:szCs w:val="26"/>
        </w:rPr>
      </w:pPr>
      <w:r>
        <w:rPr>
          <w:rFonts w:ascii="Liberation Serif" w:hAnsi="Liberation Serif"/>
          <w:sz w:val="26"/>
          <w:szCs w:val="26"/>
        </w:rPr>
        <w:t>17. В состав сил и средств Шалинского муниципального звена РСЧС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18. Основу сил постоянной готовности составляют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19. Состав и структуру сил постоянной готовности определяют создающие их федеральные органы исполнительной власти, государственные корпорации, органы исполнительной власти Свердловской области, органы местного самоуправления Шалинского муниципального округа, организации и общественные объединения, осуществляющие свою деятельность на территории Шалинского муниципального округа, исходя из возложенных на них задач по предупреждению и ликвидации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20. Координацию деятельности аварийно-спасательных служб и аварийно-спасательных формирований на территории Шалинского муниципального округа осуществляет Отдел ГО, ЧС.</w:t>
      </w:r>
    </w:p>
    <w:p>
      <w:pPr>
        <w:pStyle w:val="ConsPlusNormal"/>
        <w:spacing w:before="0" w:after="0"/>
        <w:ind w:firstLine="540" w:left="0"/>
        <w:jc w:val="both"/>
        <w:rPr/>
      </w:pPr>
      <w:r>
        <w:rPr>
          <w:rFonts w:ascii="Liberation Serif" w:hAnsi="Liberation Serif"/>
          <w:sz w:val="26"/>
          <w:szCs w:val="26"/>
        </w:rPr>
        <w:t>21. Привлечение аварийно-спасательных служб и аварийно-спасательных формирований к ликвидации чрезвычайных ситуаций осуществляется в соответствии со статьей 13 Федерального закона от 22 августа 1995 года № 151-ФЗ «Об аварийно-спасательных службах и статусе спасателей».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22. 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органов управления Шалинского муниципального звена РСЧС.</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23. Подготовка работников органов местного самоуправления Шалинского муниципального округа и созданных ими муниципальных учреждений, Отдела ГО, ЧС и включенных в состав органов управления Шалинского муниципального звена РСЧС, организуется в порядке, установленном действующим законодательством.</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24. 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Министерством Российской Федерации по делам гражданской обороны, чрезвычайным ситуациям и ликвидации последствий стихийных бедствий, органами государственного надзора и контроля, Главным управлением МЧС России по Свердловской области, а также федеральными органами исполнительной власти, Министерством общественной безопасности Свердловской области (далее - Министерство), органами местного самоуправления Шалинского муниципального округа и организациями, создающими указанные службы и формирования.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25. Для ликвидации чрезвычайных ситуаций создаются и используются: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резервы финансовых и материальных ресурсов - за счет средств бюджета Шалинского муниципального округа;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резервы финансовых и материальных ресурсов - за счет собственных средств организации.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Порядок создания, использования и восполнения резервов финансовых и материальных ресурсов определяется законодательством Российской Федерации, Свердловской области и муниципальными правовыми актами Шалинского муниципального округа, и решениями руководителей организаций.</w:t>
      </w:r>
    </w:p>
    <w:p>
      <w:pPr>
        <w:pStyle w:val="ConsPlusNormal"/>
        <w:spacing w:before="160" w:after="0"/>
        <w:ind w:firstLine="540" w:left="0"/>
        <w:jc w:val="both"/>
        <w:rPr>
          <w:rFonts w:ascii="Liberation Serif" w:hAnsi="Liberation Serif"/>
          <w:sz w:val="26"/>
          <w:szCs w:val="26"/>
        </w:rPr>
      </w:pPr>
      <w:r>
        <w:rPr>
          <w:rFonts w:ascii="Liberation Serif" w:hAnsi="Liberation Serif"/>
          <w:sz w:val="26"/>
          <w:szCs w:val="26"/>
        </w:rPr>
        <w:t>Номенклатура и объем резервов материальных ресурсов для ликвидации чрезвычайных ситуаций, а также контроль за их созданием, хранением, использованием и восполнением устанавливаются создающим (создающей) их органом (организацией).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26. Управление Шалинским муниципальным звеном РСЧС осуществляется с использованием систем связи и оповещения, представляющих собой организационно-техническое объединение сил, средств связи и оповещения, сетей вещания, каналов сети связи общего пользования и ведомственных сетей связи, обеспечивающих доведение информации и сигналов оповещения до органов управления и сил Шалинского муниципального звена РСЧС.</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27. Информационное обеспечение в Шалинском муниципальном звене РСЧС осуществляется с использованием автоматизированной информационно-управляющей системы, представляющей собой совокупность технических систем, средств связи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28. Для приема сообщений о чрезвычайных ситуациях, в том числе вызванных пожарами, используется единый номер вызова экстренных оперативных служб «112» и номер приема сообщений о пожарах и чрезвычайных ситуациях, назначаемый федеральным органом исполнительной власти в области связи.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29. Сбор и обмен информацией в области защиты населения и территорий от чрезвычайных ситуаций и обеспечения пожарной безопасности осуществляется администрацией Шалинского муниципального округа и Отделом ГО, ЧС с федеральными органами исполнительной власти, государственными корпорациями, исполнительными органами государственной власти Свердловской области, организациями осуществляющими свою деятельность на территории Шалинского муниципального округа в порядке, установленном Правительством Российской Федерации.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30. Сроки и формы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Правительством Свердловской области.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31. Проведение мероприятий по предупреждению и ликвидации чрезвычайных ситуаций в рамках Шалинского муниципального звена РСЧС осуществляется на основе плана действий по предупреждению и ликвидации чрезвычайных ситуаций Шалинского муниципального округа и планов действий по предупреждению и ликвидации чрезвычайных ситуаций организаций, осуществляющих свою деятельность на территории Шалинского муниципального округа.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32. При отсутствии угрозы возникновения чрезвычайных ситуаций на объектах, территории или акваториях водных объектов Шалинского муниципального округа органы управления и силы Шалинского муниципального звена РСЧС функционируют в режиме повседневной деятельности.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33. Решениями руководителей исполнительных органов государственной власти Свердловской области, постановлением главы Шалинского муниципального округа и решениями руководителей организаций, осуществляющих свою деятельность на территории Шалинского муниципального округа, на территориях которых могут возникнуть или возникли чрезвычайные ситуации, либо к полномочиям, которых отнесена ликвидация чрезвычайных ситуаций, для соответствующих органов управления и сил Шалинского муниципального звена РСЧС может устанавливаться один из следующих режимов функционирования: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режим повышенной готовности - при угрозе возникновения чрезвычайных ситуаций;</w:t>
      </w:r>
    </w:p>
    <w:p>
      <w:pPr>
        <w:pStyle w:val="ConsPlusNormal"/>
        <w:spacing w:before="160" w:after="0"/>
        <w:ind w:firstLine="540" w:left="0"/>
        <w:jc w:val="both"/>
        <w:rPr>
          <w:rFonts w:ascii="Liberation Serif" w:hAnsi="Liberation Serif"/>
          <w:sz w:val="26"/>
          <w:szCs w:val="26"/>
        </w:rPr>
      </w:pPr>
      <w:r>
        <w:rPr>
          <w:rFonts w:ascii="Liberation Serif" w:hAnsi="Liberation Serif"/>
          <w:sz w:val="26"/>
          <w:szCs w:val="26"/>
        </w:rPr>
        <w:t>2) режим чрезвычайной ситуации - при возникновении и ликвидации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34. Постановлением главы Шалинского муниципального округа и (или) решением руководителей организаций, осуществляющих свою деятельность на территории Шалинского муниципального округа, о введении для соответствующих органов управления и сил Шалинского муниципального звена РСЧС режима повышенной готовности или режима чрезвычайной ситуации определяются: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обстоятельства, послужившие основанием для введения режима повышенной готовности или режима чрезвычайной ситуации;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границы территории, на которой может возникнуть чрезвычайная ситуация, или границы зоны чрезвычайной ситуации;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 силы и средства, привлекаемые к проведению мероприятий по предупреждению и ликвидации чрезвычайной ситуации;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 перечень мер по обеспечению защиты населения от чрезвычайной ситуации или организации работ по ее ликвидации;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5) 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35. Администрация Шалинского муниципального округа, Отдел ГО, ЧС, руководители организаций, осуществляющих свою деятельность на территории Шалинского муниципального округа, информируют население Шалинского муниципального округа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связи о введении на конкретной территории соответствующих режимов функционирования органов управления и сил Шалинского муниципального звена РСЧС, а также о мерах по обеспечению безопасности населения.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36.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глава Шалинского муниципального округа и руководители организаций, осуществляющих свою деятельность на территории Шалинского муниципального округа, отменяют установленные режимы функционирования органов управления и сил Шалинского муниципального звена РСЧС.</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37. Основными мероприятиями, проводимыми органами управления и силами Шалинского муниципального звена РСЧС, являются: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в режиме повседневной деятельности: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изучение состояния окружающей среды и прогнозирование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сбор, обработка и обмен в установленном порядке информацией в области защиты населения и территории Шалинского муниципального округа от чрезвычайных ситуаций и обеспечения пожарной безопасности;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планирование действий органов управления и сил Шалинского муниципального звена РСЧС, организация подготовки и обеспечения их деятельности;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подготовка населения Шалинского муниципального округа к действиям в чрезвычайных ситуациях, в том числе при получении сигналов экстренного оповещения;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пропаганда знаний в области защиты населения и территории Шалинского муниципального округа от чрезвычайных ситуаций и обеспечения пожарной безопасности;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руководство созданием, размещением, хранением и восполнением резервов материальных ресурсов для ликвидации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осуществление в пределах своих полномочий необходимых видов страхования;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проведение мероприятий по жизнеобеспечению населения в чрезвычайных ситуациях, подготовке к эвакуации населения Шалинского муниципального округа, материальных и культурных ценностей в безопасные районы, их размещению и возвращению соответственно в места постоянного проживания либо хранения;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в режиме повышенной готовности: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усиление контроля за состоянием окружающей среды, прогнозирование возникновения чрезвычайных ситуаций и их последствий;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введение при необходимости круглосуточного дежурства руководителей и должностных лиц органов управления и сил Шалинского муниципального звена РСЧС на стационарных пунктах управления;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непрерывный сбор, обработка и передача органам управления и силам Шалинского муниципального звена РСЧС данных о прогнозируемых чрезвычайных ситуациях, информирование населения Шалинского муниципального округа о чрезвычайных ситуациях;</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 повышению устойчивости и безопасности функционирования организаций, осуществляющих свою деятельность на территории Шалинского муниципального округа, в чрезвычайных ситуациях;</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уточнение планов действий по предупреждению и ликвидации чрезвычайных ситуаций и иных документов;</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приведение при необходимости сил и средств Шалинского муниципального звена РСЧС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восполнение при необходимости резервов материальных ресурсов, созданных для ликвидации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проведение при необходимости эвакуационных мероприятий;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3) в режиме чрезвычайной ситуации: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непрерывный контроль за состоянием окружающей среды, прогнозирование развития возникших чрезвычайных ситуаций и их последствий;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оповещение органов местного самоуправления Шалинского муниципального округа и организаций, осуществляющих свою деятельность на территории Шалинского муниципального округа, а также населения Шалинского муниципального округа о возникших чрезвычайных ситуациях, в том числе с использованием специализированных технических средств оповещения и информирования населения в местах массового пребывания людей;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проведение мероприятий по защите населения и территории Шалинского муниципального округа от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организация работ по ликвидации чрезвычайных ситуаций и всестороннему обеспечению действий сил и средств Шалинского муниципального звена РСЧС, поддержанию общественного порядка в ходе их проведения, а также по привлечению при необходимости в установленном порядке общественных организаций, осуществляющих свою деятельность на территории Шалинского муниципального округа, населения Шалинского муниципального округа к ликвидации возникших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непрерывный сбор, анализ и обмен информацией об обстановке в зоне чрезвычайной ситуации и в ходе проведения работ по ее ликвидации;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организация и поддержание непрерывного взаимодействия федеральных органов исполнительной власти, исполнительных органов государственной власти Свердловской области, находящихся на территории Шалинского муниципального округа, органов местного самоуправления Шалинского муниципального округа, организаций, осуществляющих свою деятельность на территории Шалинского муниципального округа, по вопросам ликвидации чрезвычайных ситуаций и их последствий;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информирование населения Шалинского муниципального округа о чрезвычайных ситуациях, их параметрах и масштабах, поражающих факторах, принимаемых мерах по обеспечению безопасности населения и территории Шалинского муниципального округа, приемах и способах защиты, порядке действий, правилах поведения в зоне чрезвычайной ситуации, о правах граждан в области защиты населения и территорий от чрезвычайных ситуаций и социальной защиты пострадавших, в том числе о праве получения предусмотренных законодательством Российской Федерации и законодательством Свердловской области выплат, о порядке восстановления утраченных в результате чрезвычайных ситуаций документов;</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проведение мероприятий по жизнеобеспечению населения Шалинского муниципального округа в чрезвычайных ситуациях.</w:t>
      </w:r>
    </w:p>
    <w:p>
      <w:pPr>
        <w:pStyle w:val="ConsPlusNormal"/>
        <w:spacing w:before="0" w:after="0"/>
        <w:ind w:firstLine="540" w:left="0"/>
        <w:jc w:val="both"/>
        <w:rPr/>
      </w:pPr>
      <w:r>
        <w:rPr>
          <w:rFonts w:ascii="Liberation Serif" w:hAnsi="Liberation Serif"/>
          <w:sz w:val="26"/>
          <w:szCs w:val="26"/>
        </w:rPr>
        <w:t>38. При введении режима чрезвычайного положения по обстоятельствам, предусмотренным в пункте «а» статьи 3 Федерального конституционного закона от 30 мая 2001 года № 3-ФКЗ «О чрезвычайном положении», для органов управления и сил устанавливается режим повышенной готовности, а при введении режима чрезвычайного положения по обстоятельствам, предусмотренным в пункте «б» указанной статьи, - режим чрезвычайной ситуации.</w:t>
      </w:r>
    </w:p>
    <w:p>
      <w:pPr>
        <w:pStyle w:val="ConsPlusNormal"/>
        <w:spacing w:before="0" w:after="0"/>
        <w:ind w:firstLine="540" w:left="0"/>
        <w:jc w:val="both"/>
        <w:rPr/>
      </w:pPr>
      <w:bookmarkStart w:id="0" w:name="Par135"/>
      <w:bookmarkEnd w:id="0"/>
      <w:r>
        <w:rPr>
          <w:rFonts w:ascii="Liberation Serif" w:hAnsi="Liberation Serif"/>
          <w:sz w:val="26"/>
          <w:szCs w:val="26"/>
        </w:rPr>
        <w:t>39.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в соответствии с пунктом 8 статьи 4.1 Федерального закона от 21 декабря 1994 года № 68-ФЗ «О защите населения и территорий от чрезвычайных ситуаций природного и техногенного характера» устанавливается один из следующих уровней реагирования на чрезвычайную ситуацию (далее - уровень реагирования):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объектовый уровень реагирования;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местный уровень реагирования.</w:t>
      </w:r>
    </w:p>
    <w:p>
      <w:pPr>
        <w:pStyle w:val="ConsPlusNormal"/>
        <w:spacing w:before="0" w:after="0"/>
        <w:ind w:firstLine="540" w:left="0"/>
        <w:jc w:val="both"/>
        <w:rPr/>
      </w:pPr>
      <w:r>
        <w:rPr>
          <w:rFonts w:ascii="Liberation Serif" w:hAnsi="Liberation Serif"/>
          <w:sz w:val="26"/>
          <w:szCs w:val="26"/>
        </w:rPr>
        <w:t>40.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Шалинского муниципального звена РСЧС, КЧС и ОПБ Шалинского муниципального округа или должностное лицо, установленные пунктом 8 статьи 4.1 Федерального закона от 21 декабря 1994 года № 68-ФЗ «О защите населения и территорий от чрезвычайных ситуаций природного и техногенного характера»,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пунктом 10 указанной статьи.</w:t>
      </w:r>
    </w:p>
    <w:p>
      <w:pPr>
        <w:pStyle w:val="ConsPlusNormal"/>
        <w:spacing w:before="0" w:after="0"/>
        <w:ind w:firstLine="540" w:left="0"/>
        <w:jc w:val="both"/>
        <w:rPr/>
      </w:pPr>
      <w:r>
        <w:rPr>
          <w:rFonts w:ascii="Liberation Serif" w:hAnsi="Liberation Serif"/>
          <w:sz w:val="26"/>
          <w:szCs w:val="26"/>
        </w:rPr>
        <w:t>41. 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 чрезвычайным ситуациям и ликвидации последствий стихийных бедствий в соответствии с Приказом МЧС России от 22.01.2013 года № 33 «Об утверждении Порядка реализации и отмены дополнительных мер по защите населения и территорий от чрезвычайных ситуаций».</w:t>
      </w:r>
    </w:p>
    <w:p>
      <w:pPr>
        <w:pStyle w:val="ConsPlusNormal"/>
        <w:spacing w:before="0" w:after="0"/>
        <w:ind w:firstLine="540" w:left="0"/>
        <w:jc w:val="both"/>
        <w:rPr/>
      </w:pPr>
      <w:r>
        <w:rPr>
          <w:rFonts w:ascii="Liberation Serif" w:hAnsi="Liberation Serif"/>
          <w:sz w:val="26"/>
          <w:szCs w:val="26"/>
        </w:rPr>
        <w:t>42. Руководитель ликвидации чрезвычайной ситуации готовит для КЧС и ОПБ Шалинского муниципального округа или должностного лица, указанных в пункте 8 статьи 4.1  Федерального закона от 21 декабря 1994 года № 68-ФЗ «О защите населения и территорий от чрезвычайных ситуаций природного и техногенного характера», предложения о принятии дополнительных мер, предусмотренных пунктом 39 настоящего Положения.</w:t>
      </w:r>
    </w:p>
    <w:p>
      <w:pPr>
        <w:pStyle w:val="ConsPlusNormal"/>
        <w:spacing w:before="0" w:after="0"/>
        <w:ind w:firstLine="540" w:left="0"/>
        <w:jc w:val="both"/>
        <w:rPr/>
      </w:pPr>
      <w:r>
        <w:rPr>
          <w:rFonts w:ascii="Liberation Serif" w:hAnsi="Liberation Serif"/>
          <w:sz w:val="26"/>
          <w:szCs w:val="26"/>
        </w:rPr>
        <w:t>43. При отмене режима повышенной готовности или чрезвычайной ситуации, а также при устранении обстоятельств, послуживших основанием для установления уровня реагирования, КЧС и ОПБ Шалинского муниципального округа или должностным лицом, определенными пунктом 8 статьи 4.1 Федерального закона от 21 декабря 1994 года № 68-ФЗ «О защите населения и территорий от чрезвычайных ситуаций природного и техногенного характера», отменяются установленные уровни реагирования.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44. Ликвидация чрезвычайных ситуаций осуществляется:</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1) локального характера - силами и средствами организаций, осуществляющих деятельность на территории Шалинского муниципального округа;</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2) муниципального характера - силами и средствами Шалинского муниципального звена РСЧС.</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45. Руководство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46. Руководители аварийно-спасательных служб и аварийно-спасательных формирований, прибывшие в зоны чрезвычайных ситуаций первыми, принимают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и законодательством субъектов Российской Федерации, планом действий по предупреждению и ликвидации чрезвычайных ситуаций или назначенных главой Шалинского муниципального округа, руководителями организаций, осуществляющих свою деятельность на территории Шалинского муниципального округа, к полномочиям которых отнесена ликвидация чрезвычайных ситуаций.</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47. Руководители ликвидации чрезвычайных ситуаций по согласованию с органами местного самоуправления Шалинского муниципального округа и организациями, расположенными на территории Шалинского муниципального округа,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48. Решения руководителей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 и Свердловской области.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49. Финансирование Шалинского муниципального звена РСЧС осуществляется на каждом уровне за счет средств соответствующего бюджета и собственников (пользователей) имущества в соответствии с законодательством Российской Федерации.</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50. Организации всех форм собственности участвуют в ликвидации чрезвычайных ситуаций за счет собственных средств, а в исключительных случаях - средств областного бюджета, страховых фондов и других источников.</w:t>
      </w:r>
    </w:p>
    <w:p>
      <w:pPr>
        <w:pStyle w:val="ConsPlusNormal"/>
        <w:spacing w:before="0" w:after="0"/>
        <w:ind w:firstLine="540" w:left="0"/>
        <w:jc w:val="both"/>
        <w:rPr>
          <w:rFonts w:ascii="Liberation Serif" w:hAnsi="Liberation Serif"/>
          <w:sz w:val="26"/>
          <w:szCs w:val="26"/>
        </w:rPr>
      </w:pPr>
      <w:r>
        <w:rPr>
          <w:rFonts w:ascii="Liberation Serif" w:hAnsi="Liberation Serif"/>
          <w:sz w:val="26"/>
          <w:szCs w:val="26"/>
        </w:rPr>
        <w:t>51. При недостаточности указанных средств администрация Шалинского муниципального округа может обратиться в Правительство Свердловской области с просьбой о выделении средств из резервного фонда Правительства Свердловской области по предупреждению и ликвидации чрезвычайных ситуаций и последствий стихийных бедствий в порядке, установленном Правительством Свердловской области.</w:t>
      </w:r>
    </w:p>
    <w:sectPr>
      <w:type w:val="nextPage"/>
      <w:pgSz w:w="11906" w:h="16838"/>
      <w:pgMar w:left="1650" w:right="567" w:gutter="0" w:header="0" w:top="851" w:footer="0" w:bottom="56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NSimSun" w:cs="Arial"/>
      <w:color w:val="auto"/>
      <w:kern w:val="0"/>
      <w:sz w:val="20"/>
      <w:szCs w:val="20"/>
      <w:lang w:val="ru-RU" w:eastAsia="ru-RU" w:bidi="ar-SA"/>
    </w:rPr>
  </w:style>
  <w:style w:type="paragraph" w:styleId="Heading1">
    <w:name w:val="Heading 1"/>
    <w:basedOn w:val="Normal"/>
    <w:qFormat/>
    <w:pPr>
      <w:keepNext w:val="true"/>
      <w:jc w:val="center"/>
      <w:outlineLvl w:val="0"/>
    </w:pPr>
    <w:rPr>
      <w:b/>
      <w:sz w:val="28"/>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qFormat/>
    <w:rPr>
      <w:rFonts w:ascii="Tahoma" w:hAnsi="Tahoma" w:cs="Tahoma"/>
      <w:sz w:val="16"/>
      <w:szCs w:val="16"/>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rPr>
  </w:style>
  <w:style w:type="paragraph" w:styleId="List">
    <w:name w:val="List"/>
    <w:basedOn w:val="BodyText"/>
    <w:pPr/>
    <w:rPr>
      <w:rFonts w:cs="Arial"/>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9">
    <w:name w:val="Указатель"/>
    <w:basedOn w:val="Normal"/>
    <w:qFormat/>
    <w:pPr>
      <w:suppressLineNumbers/>
    </w:pPr>
    <w:rPr>
      <w:rFonts w:cs="Arial"/>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SimSun" w:cs="Arial"/>
      <w:color w:val="auto"/>
      <w:kern w:val="0"/>
      <w:sz w:val="20"/>
      <w:szCs w:val="20"/>
      <w:lang w:val="ru-RU" w:eastAsia="ru-RU" w:bidi="ar-SA"/>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0">
    <w:name w:val="Колонтитул"/>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8"/>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ru-RU" w:eastAsia="ru-RU"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jc w:val="center"/>
    </w:pPr>
    <w:rPr>
      <w:sz w:val="28"/>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uiPriority w:val="34"/>
    <w:qFormat/>
    <w:pPr>
      <w:spacing w:before="0" w:after="0"/>
      <w:ind w:left="720"/>
      <w:contextualSpacing/>
    </w:pPr>
    <w:rPr/>
  </w:style>
  <w:style w:type="paragraph" w:styleId="ConsPlusNormal">
    <w:name w:val="ConsPlusNormal"/>
    <w:qFormat/>
    <w:pPr>
      <w:widowControl/>
      <w:suppressAutoHyphens w:val="true"/>
      <w:bidi w:val="0"/>
      <w:spacing w:before="0" w:after="0"/>
      <w:jc w:val="left"/>
    </w:pPr>
    <w:rPr>
      <w:rFonts w:ascii="Arial" w:hAnsi="Arial" w:eastAsia="Arial" w:cs="Courier New"/>
      <w:b w:val="false"/>
      <w:i w:val="false"/>
      <w:strike w:val="false"/>
      <w:dstrike w:val="false"/>
      <w:color w:val="auto"/>
      <w:kern w:val="0"/>
      <w:sz w:val="16"/>
      <w:szCs w:val="24"/>
      <w:u w:val="none"/>
      <w:lang w:val="ru-RU" w:eastAsia="ru-RU" w:bidi="ar-SA"/>
    </w:rPr>
  </w:style>
  <w:style w:type="numbering" w:styleId="NoList" w:default="1">
    <w:name w:val="No List"/>
    <w:uiPriority w:val="99"/>
    <w:semiHidden/>
    <w:unhideWhenUsed/>
    <w:qFormat/>
  </w:style>
  <w:style w:type="table" w:styleId="48">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Table Grid Light"/>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Plain Table 1"/>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Plain Table 3"/>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Plain Table 4"/>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Plain Table 5"/>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55">
    <w:name w:val="Grid Table 1 Light"/>
    <w:basedOn w:val="3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56">
    <w:name w:val="Grid Table 1 Light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57">
    <w:name w:val="Grid Table 1 Light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58">
    <w:name w:val="Grid Table 1 Light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59">
    <w:name w:val="Grid Table 1 Light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0">
    <w:name w:val="Grid Table 1 Light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1">
    <w:name w:val="Grid Table 1 Light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2"/>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2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2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2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2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Grid Table 2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Grid Table 2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Grid Table 3"/>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Grid Table 3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Grid Table 3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Grid Table 3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Grid Table 3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Grid Table 3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Grid Table 3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Grid Table 4"/>
    <w:basedOn w:val="3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Grid Table 4 - Accent 1"/>
    <w:basedOn w:val="3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Grid Table 4 - Accent 2"/>
    <w:basedOn w:val="3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Grid Table 4 - Accent 3"/>
    <w:basedOn w:val="3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Grid Table 4 - Accent 4"/>
    <w:basedOn w:val="3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Grid Table 4 - Accent 5"/>
    <w:basedOn w:val="3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Grid Table 4 - Accent 6"/>
    <w:basedOn w:val="3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Grid Table 5 Dark"/>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Grid Table 5 Dark- Accent 1"/>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Grid Table 5 Dark - Accent 2"/>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Grid Table 5 Dark - Accent 3"/>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Grid Table 5 Dark- Accent 4"/>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Grid Table 5 Dark - Accent 5"/>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Grid Table 5 Dark - Accent 6"/>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Grid Table 6 Colorful"/>
    <w:basedOn w:val="3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1">
    <w:name w:val="Grid Table 6 Colorful - Accent 1"/>
    <w:basedOn w:val="3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2">
    <w:name w:val="Grid Table 6 Colorful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3">
    <w:name w:val="Grid Table 6 Colorful - Accent 3"/>
    <w:basedOn w:val="3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
    <w:name w:val="Grid Table 6 Colorful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5">
    <w:name w:val="Grid Table 6 Colorful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6">
    <w:name w:val="Grid Table 6 Colorful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7">
    <w:name w:val="Grid Table 7 Colorful"/>
    <w:basedOn w:val="3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8">
    <w:name w:val="Grid Table 7 Colorful - Accent 1"/>
    <w:basedOn w:val="3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
    <w:name w:val="Grid Table 7 Colorful - Accent 2"/>
    <w:basedOn w:val="3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100">
    <w:name w:val="Grid Table 7 Colorful - Accent 3"/>
    <w:basedOn w:val="3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101">
    <w:name w:val="Grid Table 7 Colorful - Accent 4"/>
    <w:basedOn w:val="3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102">
    <w:name w:val="Grid Table 7 Colorful - Accent 5"/>
    <w:basedOn w:val="3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103">
    <w:name w:val="Grid Table 7 Colorful - Accent 6"/>
    <w:basedOn w:val="3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1 Light"/>
    <w:basedOn w:val="3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1 Light - Accent 1"/>
    <w:basedOn w:val="32"/>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1 Light - Accent 2"/>
    <w:basedOn w:val="3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1 Light - Accent 3"/>
    <w:basedOn w:val="32"/>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1 Light - Accent 4"/>
    <w:basedOn w:val="32"/>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1 Light - Accent 5"/>
    <w:basedOn w:val="32"/>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1 Light - Accent 6"/>
    <w:basedOn w:val="32"/>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1">
    <w:name w:val="List Table 2"/>
    <w:basedOn w:val="3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2">
    <w:name w:val="List Table 2 - Accent 1"/>
    <w:basedOn w:val="3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3">
    <w:name w:val="List Table 2 - Accent 2"/>
    <w:basedOn w:val="3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4">
    <w:name w:val="List Table 2 - Accent 3"/>
    <w:basedOn w:val="3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5">
    <w:name w:val="List Table 2 - Accent 4"/>
    <w:basedOn w:val="3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6">
    <w:name w:val="List Table 2 - Accent 5"/>
    <w:basedOn w:val="3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7">
    <w:name w:val="List Table 2 - Accent 6"/>
    <w:basedOn w:val="3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st Table 3"/>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st Table 3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st Table 3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st Table 3 - Accent 3"/>
    <w:basedOn w:val="3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st Table 3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List Table 3 - Accent 5"/>
    <w:basedOn w:val="3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List Table 3 - Accent 6"/>
    <w:basedOn w:val="3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List Table 4"/>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List Table 4 - Accent 1"/>
    <w:basedOn w:val="3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List Table 4 - Accent 2"/>
    <w:basedOn w:val="3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List Table 4 - Accent 3"/>
    <w:basedOn w:val="3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List Table 4 - Accent 4"/>
    <w:basedOn w:val="3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List Table 4 - Accent 5"/>
    <w:basedOn w:val="3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List Table 4 - Accent 6"/>
    <w:basedOn w:val="3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List Table 5 Dark"/>
    <w:basedOn w:val="3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3">
    <w:name w:val="List Table 5 Dark - Accent 1"/>
    <w:basedOn w:val="3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4">
    <w:name w:val="List Table 5 Dark - Accent 2"/>
    <w:basedOn w:val="3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5">
    <w:name w:val="List Table 5 Dark - Accent 3"/>
    <w:basedOn w:val="3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6">
    <w:name w:val="List Table 5 Dark - Accent 4"/>
    <w:basedOn w:val="3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7">
    <w:name w:val="List Table 5 Dark - Accent 5"/>
    <w:basedOn w:val="3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8">
    <w:name w:val="List Table 5 Dark - Accent 6"/>
    <w:basedOn w:val="3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39">
    <w:name w:val="List Table 6 Colorful"/>
    <w:basedOn w:val="3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0">
    <w:name w:val="List Table 6 Colorful - Accent 1"/>
    <w:basedOn w:val="3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1">
    <w:name w:val="List Table 6 Colorful - Accent 2"/>
    <w:basedOn w:val="3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2">
    <w:name w:val="List Table 6 Colorful - Accent 3"/>
    <w:basedOn w:val="3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3">
    <w:name w:val="List Table 6 Colorful - Accent 4"/>
    <w:basedOn w:val="3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4">
    <w:name w:val="List Table 6 Colorful - Accent 5"/>
    <w:basedOn w:val="3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5">
    <w:name w:val="List Table 6 Colorful - Accent 6"/>
    <w:basedOn w:val="3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46">
    <w:name w:val="List Table 7 Colorful"/>
    <w:basedOn w:val="32"/>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147">
    <w:name w:val="List Table 7 Colorful - Accent 1"/>
    <w:basedOn w:val="32"/>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148">
    <w:name w:val="List Table 7 Colorful - Accent 2"/>
    <w:basedOn w:val="3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149">
    <w:name w:val="List Table 7 Colorful - Accent 3"/>
    <w:basedOn w:val="32"/>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150">
    <w:name w:val="List Table 7 Colorful - Accent 4"/>
    <w:basedOn w:val="32"/>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151">
    <w:name w:val="List Table 7 Colorful - Accent 5"/>
    <w:basedOn w:val="32"/>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52">
    <w:name w:val="List Table 7 Colorful - Accent 6"/>
    <w:basedOn w:val="32"/>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53">
    <w:name w:val="Lined - Accent"/>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54">
    <w:name w:val="Lined - Accent 1"/>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55">
    <w:name w:val="Lined - Accent 2"/>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56">
    <w:name w:val="Lined - Accent 3"/>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57">
    <w:name w:val="Lined - Accent 4"/>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58">
    <w:name w:val="Lined - Accent 5"/>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59">
    <w:name w:val="Lined - Accent 6"/>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60">
    <w:name w:val="Bordered &amp; Lined - Accent"/>
    <w:basedOn w:val="32"/>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61">
    <w:name w:val="Bordered &amp; Lined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62">
    <w:name w:val="Bordered &amp; Lined - Accent 2"/>
    <w:basedOn w:val="3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63">
    <w:name w:val="Bordered &amp; Lined - Accent 3"/>
    <w:basedOn w:val="32"/>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64">
    <w:name w:val="Bordered &amp; Lined - Accent 4"/>
    <w:basedOn w:val="32"/>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65">
    <w:name w:val="Bordered &amp; Lined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66">
    <w:name w:val="Bordered &amp; Lined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67">
    <w:name w:val="Bordered"/>
    <w:basedOn w:val="3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68">
    <w:name w:val="Bordered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69">
    <w:name w:val="Bordered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70">
    <w:name w:val="Bordered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71">
    <w:name w:val="Bordered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72">
    <w:name w:val="Bordered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73">
    <w:name w:val="Bordered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54">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LibreOffice/24.2.1.2$Windows_X86_64 LibreOffice_project/db4def46b0453cc22e2d0305797cf981b68ef5ac</Application>
  <AppVersion>15.0000</AppVersion>
  <Pages>7</Pages>
  <Words>3716</Words>
  <Characters>28481</Characters>
  <CharactersWithSpaces>32241</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2023-12-22T03:50:00Z</dcterms:created>
  <dc:creator>Тамара</dc:creator>
  <dc:description/>
  <dc:language>ru-RU</dc:language>
  <cp:lastModifiedBy/>
  <cp:lastPrinted>2025-12-29T09:06:38Z</cp:lastPrinted>
  <dcterms:modified xsi:type="dcterms:W3CDTF">2025-12-29T12:18:53Z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