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2897505</wp:posOffset>
            </wp:positionH>
            <wp:positionV relativeFrom="paragraph">
              <wp:posOffset>-125730</wp:posOffset>
            </wp:positionV>
            <wp:extent cx="640080" cy="709930"/>
            <wp:effectExtent l="0" t="0" r="0" b="0"/>
            <wp:wrapTight wrapText="bothSides">
              <wp:wrapPolygon edited="0">
                <wp:start x="-1590" y="0"/>
                <wp:lineTo x="-1590" y="19887"/>
                <wp:lineTo x="21809" y="19887"/>
                <wp:lineTo x="21809" y="0"/>
                <wp:lineTo x="-1590" y="0"/>
              </wp:wrapPolygon>
            </wp:wrapTight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22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  <w:t>АДМИНИСТРАЦИЯ ШАЛИНСКОГО ГОРОДСКОГО ОКРУГА</w:t>
      </w:r>
    </w:p>
    <w:p>
      <w:pPr>
        <w:pStyle w:val="1"/>
        <w:rPr>
          <w:rFonts w:ascii="Liberation Serif" w:hAnsi="Liberation Serif"/>
        </w:rPr>
      </w:pPr>
      <w:r>
        <w:rPr>
          <w:rFonts w:ascii="Liberation Serif" w:hAnsi="Liberation Serif"/>
        </w:rPr>
        <w:t>П О С Т А Н О В Л Е Н И Е</w:t>
      </w:r>
    </w:p>
    <w:tbl>
      <w:tblPr>
        <w:tblW w:w="10152" w:type="dxa"/>
        <w:jc w:val="left"/>
        <w:tblInd w:w="7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152"/>
      </w:tblGrid>
      <w:tr>
        <w:trPr>
          <w:trHeight w:val="216" w:hRule="atLeast"/>
        </w:trPr>
        <w:tc>
          <w:tcPr>
            <w:tcW w:w="10152" w:type="dxa"/>
            <w:tcBorders>
              <w:top w:val="thinThickSmallGap" w:sz="2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rFonts w:ascii="Liberation Serif" w:hAnsi="Liberation Serif"/>
                <w:b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Проект </w:t>
            </w:r>
          </w:p>
        </w:tc>
      </w:tr>
    </w:tbl>
    <w:p>
      <w:pPr>
        <w:pStyle w:val="Normal"/>
        <w:widowControl w:val="false"/>
        <w:spacing w:before="0" w:after="0"/>
        <w:ind w:firstLine="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 «   »  </w:t>
      </w:r>
      <w:r>
        <w:rPr>
          <w:rFonts w:ascii="Liberation Serif" w:hAnsi="Liberation Serif"/>
          <w:sz w:val="28"/>
          <w:szCs w:val="28"/>
          <w:lang w:val="en-US"/>
        </w:rPr>
        <w:t>___________</w:t>
      </w:r>
      <w:r>
        <w:rPr>
          <w:rFonts w:ascii="Liberation Serif" w:hAnsi="Liberation Serif"/>
          <w:sz w:val="28"/>
          <w:szCs w:val="28"/>
        </w:rPr>
        <w:t xml:space="preserve"> 2024года  №  </w:t>
      </w:r>
    </w:p>
    <w:p>
      <w:pPr>
        <w:pStyle w:val="Normal"/>
        <w:widowControl w:val="false"/>
        <w:spacing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пгт. Шаля</w:t>
      </w:r>
    </w:p>
    <w:p>
      <w:pPr>
        <w:pStyle w:val="Normal"/>
        <w:widowControl w:val="false"/>
        <w:tabs>
          <w:tab w:val="clear" w:pos="708"/>
          <w:tab w:val="left" w:pos="1053" w:leader="none"/>
        </w:tabs>
        <w:spacing w:before="0" w:after="0"/>
        <w:ind w:firstLine="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7"/>
        <w:spacing w:before="0" w:after="0"/>
        <w:jc w:val="center"/>
        <w:rPr>
          <w:rFonts w:ascii="Liberation Serif" w:hAnsi="Liberation Serif"/>
          <w:b/>
          <w:b/>
          <w:i/>
          <w:i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подпрограмму «Развитие транспорта, дорожного хозяйства, связи и информационных технологий до 2026 года»муниципальной программы «Социально-экономическое развитие Шалинского городского округа до 2026 года», утвержденной </w:t>
      </w:r>
      <w:bookmarkStart w:id="0" w:name="_GoBack"/>
      <w:bookmarkEnd w:id="0"/>
      <w:r>
        <w:rPr>
          <w:rFonts w:ascii="Liberation Serif" w:hAnsi="Liberation Serif"/>
          <w:b/>
          <w:i/>
          <w:sz w:val="28"/>
          <w:szCs w:val="28"/>
        </w:rPr>
        <w:t>постановлением администрации Шалинского городского округа от 12 октября 2021 года № 539</w:t>
      </w:r>
    </w:p>
    <w:p>
      <w:pPr>
        <w:pStyle w:val="Normal"/>
        <w:spacing w:before="0" w:after="0"/>
        <w:ind w:right="-1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cs="Liberation Serif" w:ascii="Liberation Serif" w:hAnsi="Liberation Serif"/>
          <w:sz w:val="28"/>
          <w:szCs w:val="28"/>
        </w:rPr>
        <w:t>Руководствуясь постановлением администрации Шалинского городского округа от 04.09.2023 года № 423 «Об утверждении порядка разработки, реализации и оценки эффективности муниципальных программ (подпрограмм) Шалинского городского округа», в соответствии с решением Думы Шалинского городского округа от 30.05.2024 года № 289 «О внесении изменений в решение Думы Шалинского городского округа от 21.12.2023 года № 234 «О бюджете Шалинского городского округа на 2024 год и плановый период 2025 и 2026 годов», администрация Шалинского городского округа,</w:t>
      </w:r>
    </w:p>
    <w:p>
      <w:pPr>
        <w:pStyle w:val="Normal"/>
        <w:spacing w:before="0" w:after="0"/>
        <w:ind w:right="278" w:hanging="0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Normal"/>
        <w:spacing w:before="0" w:after="0"/>
        <w:ind w:right="278" w:firstLine="708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ПОСТАНОВЛЯЕТ:</w:t>
      </w:r>
    </w:p>
    <w:p>
      <w:pPr>
        <w:pStyle w:val="Normal"/>
        <w:spacing w:before="0" w:after="0"/>
        <w:ind w:right="278" w:hanging="0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1. Внести изменения в подпрограмму «Развитие транспорта, дорожного хозяйства, связи и информационных технологий Шалинского городского округа до 2026 года» муниципальной программы «Социально-экономическое развитие Шалинского городского округа до 2026 года», утвержденной постановлением администрации Шалинского городского округа от 12 октября 2021 года № 539.</w:t>
      </w:r>
    </w:p>
    <w:p>
      <w:pPr>
        <w:pStyle w:val="Normal"/>
        <w:spacing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1.1. В паспорте подпрограммы «Развитие транспорта, дорожного хозяйства, связи и информационных технологий Шалинского городского округа до 2026 года», строки </w:t>
      </w:r>
      <w:r>
        <w:rPr>
          <w:rFonts w:cs="Liberation Serif" w:ascii="Liberation Serif" w:hAnsi="Liberation Serif"/>
          <w:sz w:val="28"/>
          <w:szCs w:val="28"/>
        </w:rPr>
        <w:t>«Перечень основных целевых показателей подпрограммы» и</w:t>
      </w:r>
      <w:r>
        <w:rPr>
          <w:rFonts w:ascii="Liberation Serif" w:hAnsi="Liberation Serif"/>
          <w:sz w:val="28"/>
          <w:szCs w:val="28"/>
        </w:rPr>
        <w:t xml:space="preserve"> «Объемы финансирования подпрограммы по годам реализации, рублей» изложить в следующей редакции:</w:t>
      </w:r>
    </w:p>
    <w:tbl>
      <w:tblPr>
        <w:tblW w:w="9747" w:type="dxa"/>
        <w:jc w:val="left"/>
        <w:tblInd w:w="37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780"/>
        <w:gridCol w:w="6966"/>
      </w:tblGrid>
      <w:tr>
        <w:trPr/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277" w:hanging="0"/>
              <w:jc w:val="both"/>
              <w:rPr>
                <w:rFonts w:ascii="Liberation Serif" w:hAnsi="Liberation Serif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Перечень основных целевых показателей 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1. Доля протяженности автомобильных дорог общего пользования местного значения, в отношении которых выполнены работы по содержанию, от общей протяженности автомобильных дорог общего пользования местного значения, подлежащие содержанию в соответствии с нормативной потребностью;</w:t>
            </w:r>
          </w:p>
          <w:p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2. Протяженность автомобильных дорог общего пользования местного значения, в отношении которых выполнены работы по ремонту;</w:t>
            </w:r>
          </w:p>
          <w:p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2.1. Протяженность автомобильных дорог общего пользования местного значения, в отношении которых выполнены работы по капитальному ремонту;</w:t>
            </w:r>
          </w:p>
          <w:p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3. Протяженность построенного земляного полотнаавтомобильных дорог общего пользования местного значения;</w:t>
            </w:r>
          </w:p>
          <w:p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3.1. Количество земельных участков, обеспеченных транспортной инфраструктурой;</w:t>
            </w:r>
          </w:p>
          <w:p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4. Количество установленных дорожных знаков;</w:t>
            </w:r>
          </w:p>
          <w:p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5. Протяженность автомобильных дорог вблизи образовательных организаций, обустроенных в соответствии с требованиями национальных стандартов;</w:t>
            </w:r>
          </w:p>
          <w:p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6. Строительство мостового перехода через реку Чусовая в селе Чусовое;</w:t>
            </w:r>
          </w:p>
          <w:p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7.Количество выполненных рейсов по муниципальным маршрутам регулярных перевозок;</w:t>
            </w:r>
          </w:p>
          <w:p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8. Количество приобретенной техники;</w:t>
            </w:r>
          </w:p>
          <w:p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9. Доля опубликованных правовых актов органов местного самоуправления Шалинского городского округа и иной официальной информации в печатном и электронном виде из направленных на опубликование;</w:t>
            </w:r>
          </w:p>
          <w:p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</w:r>
          </w:p>
        </w:tc>
      </w:tr>
      <w:tr>
        <w:trPr/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277" w:hanging="0"/>
              <w:rPr>
                <w:rFonts w:ascii="Liberation Serif" w:hAnsi="Liberation Serif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Объемы финансирования подпрограммы по годам реализации, рублей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ВСЕГО: </w:t>
            </w:r>
            <w:r>
              <w:rPr>
                <w:rFonts w:eastAsia="" w:cs="" w:ascii="Liberation Serif" w:hAnsi="Liberation Serif" w:cstheme="minorBidi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693091057,54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том числе: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2022 год – </w:t>
            </w:r>
            <w:r>
              <w:rPr>
                <w:rFonts w:eastAsia="" w:cs="" w:ascii="Liberation Serif" w:hAnsi="Liberation Serif" w:cstheme="minorBidi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112511422,01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2023 год – 211339869,89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2024 год – 140670932,32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2025 год – 112083866,66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2026 год – 116484966,66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Из них: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Местный бюджет: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592004557,54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 том числе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/>
                <w:sz w:val="28"/>
                <w:szCs w:val="28"/>
              </w:rPr>
              <w:t>2022 год – 112511422,01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/>
                <w:sz w:val="28"/>
                <w:szCs w:val="28"/>
              </w:rPr>
              <w:t>2023 год – 211339869,89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/>
                <w:sz w:val="28"/>
                <w:szCs w:val="28"/>
              </w:rPr>
              <w:t>2024 год – 140670932,32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/>
                <w:sz w:val="28"/>
                <w:szCs w:val="28"/>
              </w:rPr>
              <w:t>2025 год – 112083866,66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/>
                <w:sz w:val="28"/>
                <w:szCs w:val="28"/>
              </w:rPr>
              <w:t>2026 год – 116484966,66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Областной бюджет 101086500,00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том числе: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2022 год – 0,00 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2023 год – 10 108 650,0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2024 год – 0 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2025 год – 0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2026 год – 0</w:t>
            </w:r>
          </w:p>
        </w:tc>
      </w:tr>
    </w:tbl>
    <w:p>
      <w:pPr>
        <w:pStyle w:val="Normal"/>
        <w:spacing w:before="0" w:after="0"/>
        <w:ind w:firstLine="540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1.2. Приложения № 1 и № 2</w:t>
      </w:r>
      <w:r>
        <w:rPr>
          <w:rFonts w:ascii="Liberation Serif" w:hAnsi="Liberation Serif"/>
          <w:bCs/>
          <w:sz w:val="28"/>
          <w:szCs w:val="28"/>
        </w:rPr>
        <w:t xml:space="preserve"> к подпрограмме</w:t>
      </w:r>
      <w:r>
        <w:rPr>
          <w:rFonts w:ascii="Liberation Serif" w:hAnsi="Liberation Serif"/>
          <w:sz w:val="28"/>
          <w:szCs w:val="28"/>
        </w:rPr>
        <w:t>«Развитие транспорта, дорожного хозяйства, связи и информационных технологий Шалинского городского округа до 2026 года», изложить в новой редакции (прилагается).</w:t>
      </w:r>
    </w:p>
    <w:p>
      <w:pPr>
        <w:pStyle w:val="Normal"/>
        <w:spacing w:before="0" w:after="0"/>
        <w:ind w:right="-1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>
      <w:pPr>
        <w:pStyle w:val="21"/>
        <w:tabs>
          <w:tab w:val="clear" w:pos="708"/>
          <w:tab w:val="left" w:pos="540" w:leader="none"/>
        </w:tabs>
        <w:spacing w:lineRule="auto" w:line="240" w:before="0" w:after="0"/>
        <w:ind w:lef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3. Контроль исполнения настоящего постановления возложить на заместителя главы администрации – начальника отдела администрации Шалинского городского округа В.С. Шмырина.</w:t>
      </w:r>
    </w:p>
    <w:p>
      <w:pPr>
        <w:pStyle w:val="21"/>
        <w:tabs>
          <w:tab w:val="clear" w:pos="708"/>
          <w:tab w:val="left" w:pos="540" w:leader="none"/>
        </w:tabs>
        <w:spacing w:lineRule="auto" w:line="240" w:before="0" w:after="0"/>
        <w:ind w:lef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21"/>
        <w:tabs>
          <w:tab w:val="clear" w:pos="708"/>
          <w:tab w:val="left" w:pos="540" w:leader="none"/>
        </w:tabs>
        <w:spacing w:lineRule="auto" w:line="240" w:before="0" w:after="0"/>
        <w:ind w:lef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21"/>
        <w:tabs>
          <w:tab w:val="clear" w:pos="708"/>
          <w:tab w:val="left" w:pos="540" w:leader="none"/>
        </w:tabs>
        <w:spacing w:lineRule="auto" w:line="240" w:before="0" w:after="0"/>
        <w:ind w:lef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21"/>
        <w:tabs>
          <w:tab w:val="clear" w:pos="708"/>
          <w:tab w:val="left" w:pos="540" w:leader="none"/>
          <w:tab w:val="left" w:pos="5898" w:leader="none"/>
        </w:tabs>
        <w:spacing w:lineRule="auto" w:line="240" w:before="0" w:after="0"/>
        <w:ind w:lef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</w:p>
    <w:p>
      <w:pPr>
        <w:pStyle w:val="21"/>
        <w:tabs>
          <w:tab w:val="clear" w:pos="708"/>
          <w:tab w:val="left" w:pos="540" w:leader="none"/>
          <w:tab w:val="left" w:pos="5898" w:leader="none"/>
        </w:tabs>
        <w:spacing w:lineRule="auto" w:line="240" w:before="0" w:after="0"/>
        <w:ind w:lef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Шалинского городского округа                                                                А.П. Богатырев</w:t>
      </w:r>
    </w:p>
    <w:p>
      <w:pPr>
        <w:pStyle w:val="Normal"/>
        <w:spacing w:before="0" w:after="0"/>
        <w:ind w:right="-1" w:firstLine="709"/>
        <w:jc w:val="center"/>
        <w:rPr>
          <w:rFonts w:ascii="Liberation Serif" w:hAnsi="Liberation Serif" w:cs="Times New Roman"/>
          <w:b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</w:r>
    </w:p>
    <w:p>
      <w:pPr>
        <w:pStyle w:val="Normal"/>
        <w:rPr>
          <w:rFonts w:ascii="Liberation Serif" w:hAnsi="Liberation Serif" w:cs="Times New Roman"/>
          <w:b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</w:r>
      <w:r>
        <w:br w:type="page"/>
      </w:r>
    </w:p>
    <w:p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false"/>
          <w:b w:val="false"/>
        </w:rPr>
      </w:pPr>
      <w:r>
        <w:rPr>
          <w:rFonts w:cs="Times New Roman" w:ascii="Liberation Serif" w:hAnsi="Liberation Serif"/>
          <w:b w:val="false"/>
        </w:rPr>
        <w:t>Приложение к постановлению</w:t>
      </w:r>
    </w:p>
    <w:p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false"/>
          <w:b w:val="false"/>
        </w:rPr>
      </w:pPr>
      <w:r>
        <w:rPr>
          <w:rFonts w:cs="Times New Roman" w:ascii="Liberation Serif" w:hAnsi="Liberation Serif"/>
          <w:b w:val="false"/>
        </w:rPr>
        <w:t xml:space="preserve">администрации Шалинского </w:t>
      </w:r>
    </w:p>
    <w:p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false"/>
          <w:b w:val="false"/>
        </w:rPr>
      </w:pPr>
      <w:r>
        <w:rPr>
          <w:rFonts w:cs="Times New Roman" w:ascii="Liberation Serif" w:hAnsi="Liberation Serif"/>
          <w:b w:val="false"/>
        </w:rPr>
        <w:t>городского округа</w:t>
      </w:r>
    </w:p>
    <w:p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false"/>
          <w:b w:val="false"/>
          <w:lang w:val="en-US"/>
        </w:rPr>
      </w:pPr>
      <w:r>
        <w:rPr>
          <w:rFonts w:cs="Times New Roman" w:ascii="Liberation Serif" w:hAnsi="Liberation Serif"/>
          <w:b w:val="false"/>
        </w:rPr>
        <w:t>от «</w:t>
      </w:r>
      <w:r>
        <w:rPr>
          <w:rFonts w:cs="Times New Roman" w:ascii="Liberation Serif" w:hAnsi="Liberation Serif"/>
          <w:b w:val="false"/>
          <w:lang w:val="en-US"/>
        </w:rPr>
        <w:t>__</w:t>
      </w:r>
      <w:r>
        <w:rPr>
          <w:rFonts w:cs="Times New Roman" w:ascii="Liberation Serif" w:hAnsi="Liberation Serif"/>
          <w:b w:val="false"/>
        </w:rPr>
        <w:t xml:space="preserve">» </w:t>
      </w:r>
      <w:r>
        <w:rPr>
          <w:rFonts w:cs="Times New Roman" w:ascii="Liberation Serif" w:hAnsi="Liberation Serif"/>
          <w:b w:val="false"/>
          <w:lang w:val="en-US"/>
        </w:rPr>
        <w:t>_________</w:t>
      </w:r>
      <w:r>
        <w:rPr>
          <w:rFonts w:cs="Times New Roman" w:ascii="Liberation Serif" w:hAnsi="Liberation Serif"/>
          <w:b w:val="false"/>
        </w:rPr>
        <w:t xml:space="preserve">2023г. № </w:t>
      </w:r>
      <w:r>
        <w:rPr>
          <w:rFonts w:cs="Times New Roman" w:ascii="Liberation Serif" w:hAnsi="Liberation Serif"/>
          <w:b w:val="false"/>
          <w:lang w:val="en-US"/>
        </w:rPr>
        <w:t>____</w:t>
      </w:r>
    </w:p>
    <w:p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false"/>
          <w:b w:val="false"/>
          <w:sz w:val="24"/>
          <w:szCs w:val="24"/>
        </w:rPr>
      </w:pPr>
      <w:r>
        <w:rPr>
          <w:rFonts w:cs="Times New Roman" w:ascii="Liberation Serif" w:hAnsi="Liberation Serif"/>
          <w:b w:val="false"/>
          <w:sz w:val="24"/>
          <w:szCs w:val="24"/>
        </w:rPr>
      </w:r>
    </w:p>
    <w:p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false"/>
          <w:b w:val="false"/>
        </w:rPr>
      </w:pPr>
      <w:r>
        <w:rPr>
          <w:rFonts w:cs="Times New Roman" w:ascii="Liberation Serif" w:hAnsi="Liberation Serif"/>
          <w:b w:val="false"/>
        </w:rPr>
        <w:t>Приложение № 1</w:t>
      </w:r>
    </w:p>
    <w:p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false"/>
          <w:b w:val="false"/>
        </w:rPr>
      </w:pPr>
      <w:r>
        <w:rPr>
          <w:rFonts w:cs="Times New Roman" w:ascii="Liberation Serif" w:hAnsi="Liberation Serif"/>
          <w:b w:val="false"/>
        </w:rPr>
        <w:t xml:space="preserve">к </w:t>
      </w:r>
      <w:r>
        <w:rPr>
          <w:rFonts w:cs="Times New Roman" w:ascii="Liberation Serif" w:hAnsi="Liberation Serif"/>
          <w:b w:val="false"/>
          <w:bCs w:val="false"/>
        </w:rPr>
        <w:t xml:space="preserve">Подпрограмме </w:t>
      </w:r>
      <w:r>
        <w:rPr>
          <w:rFonts w:cs="Times New Roman" w:ascii="Liberation Serif" w:hAnsi="Liberation Serif"/>
          <w:b w:val="false"/>
        </w:rPr>
        <w:t>«</w:t>
      </w:r>
      <w:r>
        <w:rPr>
          <w:rFonts w:ascii="Liberation Serif" w:hAnsi="Liberation Serif"/>
          <w:b w:val="false"/>
        </w:rPr>
        <w:t>Развитие транспорта, дорожного хозяйства, связи и информационных технологий Шалинского городского округа до 2026 года</w:t>
      </w:r>
      <w:r>
        <w:rPr>
          <w:rFonts w:cs="Times New Roman" w:ascii="Liberation Serif" w:hAnsi="Liberation Serif"/>
          <w:b w:val="false"/>
        </w:rPr>
        <w:t>»</w:t>
      </w:r>
    </w:p>
    <w:p>
      <w:pPr>
        <w:pStyle w:val="Normal"/>
        <w:spacing w:before="0" w:after="0"/>
        <w:ind w:firstLine="709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Liberation Serif" w:hAnsi="Liberation Serif" w:cs="Times New Roman"/>
          <w:b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  <w:t>«Цели, задачи, целевые показатели реализации</w:t>
      </w:r>
    </w:p>
    <w:p>
      <w:pPr>
        <w:pStyle w:val="Normal"/>
        <w:spacing w:before="0" w:after="0"/>
        <w:ind w:firstLine="709"/>
        <w:jc w:val="center"/>
        <w:rPr>
          <w:rFonts w:ascii="Liberation Serif" w:hAnsi="Liberation Serif" w:cs="Times New Roman"/>
          <w:b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  <w:t>Подпрограммы «</w:t>
      </w:r>
      <w:r>
        <w:rPr>
          <w:rFonts w:ascii="Liberation Serif" w:hAnsi="Liberation Serif"/>
          <w:b/>
          <w:sz w:val="24"/>
          <w:szCs w:val="24"/>
        </w:rPr>
        <w:t>Развитие транспорта, дорожного хозяйства, связи и информационных технологий Шалинского городского округа до 2026 года</w:t>
      </w:r>
      <w:r>
        <w:rPr>
          <w:rFonts w:cs="Times New Roman" w:ascii="Liberation Serif" w:hAnsi="Liberation Serif"/>
          <w:b/>
          <w:bCs/>
          <w:sz w:val="24"/>
          <w:szCs w:val="24"/>
        </w:rPr>
        <w:t>»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cs="Times New Roman"/>
          <w:b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0772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565"/>
        <w:gridCol w:w="3120"/>
        <w:gridCol w:w="1204"/>
        <w:gridCol w:w="921"/>
        <w:gridCol w:w="922"/>
        <w:gridCol w:w="921"/>
        <w:gridCol w:w="993"/>
        <w:gridCol w:w="921"/>
        <w:gridCol w:w="1204"/>
      </w:tblGrid>
      <w:tr>
        <w:trPr>
          <w:trHeight w:val="682" w:hRule="atLeast"/>
          <w:cantSplit w:val="true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br/>
              <w:t>строки</w:t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Наименование целевого показателя </w:t>
              <w:br/>
              <w:t>(индикатора)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Единица </w:t>
              <w:br/>
              <w:t>измерения</w:t>
            </w:r>
          </w:p>
        </w:tc>
        <w:tc>
          <w:tcPr>
            <w:tcW w:w="46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Источник </w:t>
              <w:br/>
              <w:t xml:space="preserve"> значений</w:t>
              <w:br/>
              <w:t>показателей</w:t>
            </w:r>
          </w:p>
        </w:tc>
      </w:tr>
      <w:tr>
        <w:trPr>
          <w:trHeight w:val="360" w:hRule="atLeast"/>
          <w:cantSplit w:val="true"/>
        </w:trPr>
        <w:tc>
          <w:tcPr>
            <w:tcW w:w="56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en-US"/>
              </w:rPr>
            </w:r>
          </w:p>
        </w:tc>
        <w:tc>
          <w:tcPr>
            <w:tcW w:w="31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en-US"/>
              </w:rPr>
            </w:r>
          </w:p>
        </w:tc>
        <w:tc>
          <w:tcPr>
            <w:tcW w:w="12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en-US"/>
              </w:rPr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 итогам</w:t>
              <w:br/>
              <w:t>2022 года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 итогам</w:t>
              <w:br/>
              <w:t>2023 года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 итогам</w:t>
              <w:br/>
              <w:t>2024 года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 итогам</w:t>
            </w:r>
          </w:p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2025 года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 итогам</w:t>
            </w:r>
          </w:p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2026 года</w:t>
            </w:r>
          </w:p>
        </w:tc>
        <w:tc>
          <w:tcPr>
            <w:tcW w:w="12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9</w:t>
            </w:r>
          </w:p>
        </w:tc>
      </w:tr>
      <w:tr>
        <w:trPr>
          <w:trHeight w:val="1002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</w:r>
          </w:p>
        </w:tc>
        <w:tc>
          <w:tcPr>
            <w:tcW w:w="10206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 xml:space="preserve">Цель 1.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Создание условий для развития экономики и инфраструктуры городского округа, обеспечения безопасности дорожного движения и комфортного передвижения автомобилистов и пешеходов по территории городского округа</w:t>
            </w:r>
          </w:p>
        </w:tc>
      </w:tr>
      <w:tr>
        <w:trPr>
          <w:trHeight w:val="284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</w:r>
          </w:p>
        </w:tc>
        <w:tc>
          <w:tcPr>
            <w:tcW w:w="10206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 xml:space="preserve">Задача 1.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Развитие улично-дорожной сети</w:t>
            </w:r>
          </w:p>
        </w:tc>
      </w:tr>
      <w:tr>
        <w:trPr>
          <w:trHeight w:val="88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Доля протяженности автомобильных дорог общего пользования местного значения, в отношении которых выполнены работы по содержанию, от общей протяженности автомобильных дорог общего пользования местного значения, подлежащие содержанию в соответствии с нормативной потребностью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Администрация Шалинского городского округа; сельские и поселковые администрации</w:t>
            </w:r>
          </w:p>
        </w:tc>
      </w:tr>
      <w:tr>
        <w:trPr>
          <w:trHeight w:val="88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Протяженность автомобильных дорог общего пользования местного значения, в отношении которых выполнены работы по ремонту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км.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13,3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8,3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10,8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12,8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12,8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Администрация Шалинского городского округа; сельские и поселковые администрации</w:t>
            </w:r>
          </w:p>
        </w:tc>
      </w:tr>
      <w:tr>
        <w:trPr>
          <w:trHeight w:val="88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2.1.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Протяженность автомобильных дорог общего пользования местного значения, в отношении которых выполнены работы по капитальному ремонту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км.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1,225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0,254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0,254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0,254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Администрация Шалинского городского округа; сельские и поселковые администрации</w:t>
            </w:r>
          </w:p>
        </w:tc>
      </w:tr>
      <w:tr>
        <w:trPr>
          <w:trHeight w:val="88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Протяженность построенного земляного полотна автомобильных дорог общего пользования местного значения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км.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2,146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>
        <w:trPr>
          <w:trHeight w:val="88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3.1.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Количество земельных участков, обеспеченных транспортной инфраструктурой.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Управление архитектуры, градостроительства и землепользованияадминистрации Шалинского городского округа</w:t>
            </w:r>
          </w:p>
        </w:tc>
      </w:tr>
      <w:tr>
        <w:trPr>
          <w:trHeight w:val="274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0206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Задача 2. Проведение работ по организации движения транспорта и пешеходов</w:t>
            </w:r>
          </w:p>
        </w:tc>
      </w:tr>
      <w:tr>
        <w:trPr>
          <w:trHeight w:val="88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Количество установленных дорожных знаков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ед.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Администрация Шалинского городского округа; сельские и поселковые администрации</w:t>
            </w:r>
          </w:p>
        </w:tc>
      </w:tr>
      <w:tr>
        <w:trPr>
          <w:trHeight w:val="88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Протяженность автомобильных дорог вблизи образовательных организаций, обустроенных в соответствии с требованиями национальных стандартов.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км.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0,7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>
        <w:trPr>
          <w:trHeight w:val="88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Строительство мостового перехода через реку Чусовая в селе Чусовое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ед.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>
        <w:trPr>
          <w:trHeight w:val="33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0206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Задача 3. Организация транспортного обслуживания населения городского округа</w:t>
            </w:r>
          </w:p>
        </w:tc>
      </w:tr>
      <w:tr>
        <w:trPr>
          <w:trHeight w:val="88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Количество выполненных рейсов по маршрутам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ед.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6024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5407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5407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>
        <w:trPr>
          <w:trHeight w:val="88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Количество приобретенной техники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ед.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>
        <w:trPr>
          <w:trHeight w:val="3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0206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Цель 2: Обеспечение доступности получения населением Шалинского городского округа информации о деятельности органов местного самоуправления и социально-значимой информации.</w:t>
            </w:r>
          </w:p>
        </w:tc>
      </w:tr>
      <w:tr>
        <w:trPr>
          <w:trHeight w:val="274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0206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Задача 3: Опубликование информации о деятельности органов местного самоуправления и социально-значимой информации в информационной сети «интернет» и средствах массовой информации.</w:t>
            </w:r>
          </w:p>
        </w:tc>
      </w:tr>
      <w:tr>
        <w:trPr>
          <w:trHeight w:val="829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Доля опубликованных правовых актов органов местного самоуправления Шалинского городского округа и иной официальной информации в печатном и электронном виде из направленных на опубликование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Администрация Шалинского городского округа</w:t>
            </w:r>
          </w:p>
        </w:tc>
      </w:tr>
    </w:tbl>
    <w:p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false"/>
          <w:b w:val="false"/>
          <w:sz w:val="24"/>
          <w:szCs w:val="24"/>
        </w:rPr>
      </w:pPr>
      <w:r>
        <w:rPr>
          <w:rFonts w:cs="Times New Roman" w:ascii="Liberation Serif" w:hAnsi="Liberation Serif"/>
          <w:b w:val="false"/>
          <w:sz w:val="24"/>
          <w:szCs w:val="24"/>
        </w:rPr>
      </w:r>
    </w:p>
    <w:p>
      <w:pPr>
        <w:pStyle w:val="Normal"/>
        <w:rPr>
          <w:rFonts w:ascii="Liberation Serif" w:hAnsi="Liberation Serif" w:eastAsia="Times New Roman" w:cs="Times New Roman"/>
          <w:bCs/>
          <w:sz w:val="24"/>
          <w:szCs w:val="24"/>
        </w:rPr>
      </w:pPr>
      <w:r>
        <w:rPr>
          <w:rFonts w:eastAsia="Times New Roman" w:cs="Times New Roman" w:ascii="Liberation Serif" w:hAnsi="Liberation Serif"/>
          <w:bCs/>
          <w:sz w:val="24"/>
          <w:szCs w:val="24"/>
        </w:rPr>
      </w:r>
      <w:r>
        <w:br w:type="page"/>
      </w:r>
    </w:p>
    <w:p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false"/>
          <w:b w:val="false"/>
        </w:rPr>
      </w:pPr>
      <w:r>
        <w:rPr>
          <w:rFonts w:cs="Times New Roman" w:ascii="Liberation Serif" w:hAnsi="Liberation Serif"/>
          <w:b w:val="false"/>
        </w:rPr>
        <w:t>Приложение № 2</w:t>
      </w:r>
    </w:p>
    <w:p>
      <w:pPr>
        <w:pStyle w:val="Normal"/>
        <w:spacing w:before="0" w:after="0"/>
        <w:ind w:firstLine="709"/>
        <w:jc w:val="right"/>
        <w:rPr>
          <w:rFonts w:ascii="Liberation Serif" w:hAnsi="Liberation Serif"/>
          <w:sz w:val="20"/>
          <w:szCs w:val="20"/>
        </w:rPr>
      </w:pPr>
      <w:r>
        <w:rPr>
          <w:rFonts w:cs="Times New Roman" w:ascii="Liberation Serif" w:hAnsi="Liberation Serif"/>
          <w:sz w:val="20"/>
          <w:szCs w:val="20"/>
        </w:rPr>
        <w:t xml:space="preserve">к </w:t>
      </w:r>
      <w:r>
        <w:rPr>
          <w:rFonts w:cs="Times New Roman" w:ascii="Liberation Serif" w:hAnsi="Liberation Serif"/>
          <w:bCs/>
          <w:sz w:val="20"/>
          <w:szCs w:val="20"/>
        </w:rPr>
        <w:t xml:space="preserve">Подпрограмме </w:t>
      </w:r>
      <w:r>
        <w:rPr>
          <w:rFonts w:cs="Times New Roman" w:ascii="Liberation Serif" w:hAnsi="Liberation Serif"/>
          <w:sz w:val="20"/>
          <w:szCs w:val="20"/>
        </w:rPr>
        <w:t>«</w:t>
      </w:r>
      <w:r>
        <w:rPr>
          <w:rFonts w:ascii="Liberation Serif" w:hAnsi="Liberation Serif"/>
          <w:sz w:val="20"/>
          <w:szCs w:val="20"/>
        </w:rPr>
        <w:t xml:space="preserve">Развитие транспорта, дорожного </w:t>
      </w:r>
    </w:p>
    <w:p>
      <w:pPr>
        <w:pStyle w:val="Normal"/>
        <w:spacing w:before="0" w:after="0"/>
        <w:ind w:firstLine="709"/>
        <w:jc w:val="righ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хозяйства,связи и информационных технологий </w:t>
      </w:r>
    </w:p>
    <w:p>
      <w:pPr>
        <w:pStyle w:val="Normal"/>
        <w:spacing w:before="0" w:after="0"/>
        <w:ind w:firstLine="709"/>
        <w:jc w:val="right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Шалинского городского округа до 2026 года</w:t>
      </w:r>
      <w:r>
        <w:rPr>
          <w:rFonts w:cs="Times New Roman" w:ascii="Liberation Serif" w:hAnsi="Liberation Serif"/>
          <w:sz w:val="20"/>
          <w:szCs w:val="20"/>
        </w:rPr>
        <w:t>»</w:t>
      </w:r>
    </w:p>
    <w:p>
      <w:pPr>
        <w:pStyle w:val="Normal"/>
        <w:spacing w:before="0" w:after="0"/>
        <w:ind w:firstLine="709"/>
        <w:jc w:val="center"/>
        <w:rPr>
          <w:rFonts w:ascii="Liberation Serif" w:hAnsi="Liberation Serif" w:cs="Times New Roman"/>
          <w:b/>
          <w:b/>
          <w:bCs/>
          <w:sz w:val="22"/>
          <w:szCs w:val="22"/>
        </w:rPr>
      </w:pPr>
      <w:r>
        <w:rPr>
          <w:rFonts w:cs="Times New Roman" w:ascii="Liberation Serif" w:hAnsi="Liberation Serif"/>
          <w:b/>
          <w:bCs/>
          <w:sz w:val="22"/>
          <w:szCs w:val="22"/>
        </w:rPr>
      </w:r>
    </w:p>
    <w:p>
      <w:pPr>
        <w:pStyle w:val="Normal"/>
        <w:spacing w:before="0" w:after="0"/>
        <w:ind w:firstLine="709"/>
        <w:jc w:val="center"/>
        <w:rPr>
          <w:rFonts w:ascii="Liberation Serif" w:hAnsi="Liberation Serif"/>
          <w:sz w:val="22"/>
          <w:szCs w:val="22"/>
        </w:rPr>
      </w:pPr>
      <w:r>
        <w:rPr>
          <w:rFonts w:cs="Times New Roman" w:ascii="Liberation Serif" w:hAnsi="Liberation Serif"/>
          <w:b/>
          <w:bCs/>
          <w:sz w:val="22"/>
          <w:szCs w:val="22"/>
        </w:rPr>
        <w:t>План мероприятий</w:t>
      </w:r>
    </w:p>
    <w:p>
      <w:pPr>
        <w:pStyle w:val="Normal"/>
        <w:spacing w:before="0" w:after="0"/>
        <w:ind w:firstLine="709"/>
        <w:jc w:val="center"/>
        <w:rPr>
          <w:rFonts w:ascii="Liberation Serif" w:hAnsi="Liberation Serif"/>
          <w:sz w:val="22"/>
          <w:szCs w:val="22"/>
        </w:rPr>
      </w:pPr>
      <w:r>
        <w:rPr>
          <w:rFonts w:cs="Times New Roman" w:ascii="Liberation Serif" w:hAnsi="Liberation Serif"/>
          <w:b/>
          <w:bCs/>
          <w:sz w:val="22"/>
          <w:szCs w:val="22"/>
        </w:rPr>
        <w:t>по выполнению Подпрограммы «</w:t>
      </w:r>
      <w:r>
        <w:rPr>
          <w:rFonts w:ascii="Liberation Serif" w:hAnsi="Liberation Serif"/>
          <w:b/>
          <w:sz w:val="22"/>
          <w:szCs w:val="22"/>
        </w:rPr>
        <w:t>Развитие транспорта, дорожного хозяйства, связи и информационных технологий Шалинского городского округа до 2026 года</w:t>
      </w:r>
      <w:r>
        <w:rPr>
          <w:rFonts w:cs="Times New Roman" w:ascii="Liberation Serif" w:hAnsi="Liberation Serif"/>
          <w:b/>
          <w:bCs/>
          <w:sz w:val="22"/>
          <w:szCs w:val="22"/>
        </w:rPr>
        <w:t>»</w:t>
      </w:r>
    </w:p>
    <w:tbl>
      <w:tblPr>
        <w:tblW w:w="11280" w:type="dxa"/>
        <w:jc w:val="left"/>
        <w:tblInd w:w="-32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"/>
        <w:gridCol w:w="1699"/>
        <w:gridCol w:w="1424"/>
        <w:gridCol w:w="1188"/>
        <w:gridCol w:w="1138"/>
        <w:gridCol w:w="1639"/>
        <w:gridCol w:w="1485"/>
        <w:gridCol w:w="1529"/>
        <w:gridCol w:w="670"/>
      </w:tblGrid>
      <w:tr>
        <w:trPr>
          <w:trHeight w:val="805" w:hRule="atLeast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</w:rPr>
              <w:t xml:space="preserve">№ </w:t>
            </w: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Наименование мероприятия / источник финансирования</w:t>
            </w:r>
          </w:p>
        </w:tc>
        <w:tc>
          <w:tcPr>
            <w:tcW w:w="8403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</w:rPr>
              <w:t>Номер строки целевых показателей, на достижение которых направлены мероприятия</w:t>
            </w:r>
          </w:p>
        </w:tc>
      </w:tr>
      <w:tr>
        <w:trPr>
          <w:trHeight w:val="405" w:hRule="atLeast"/>
        </w:trPr>
        <w:tc>
          <w:tcPr>
            <w:tcW w:w="50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169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на 2022 год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на 2023 год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на 2024 год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на 2025 год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на 2026 год</w:t>
            </w:r>
          </w:p>
        </w:tc>
        <w:tc>
          <w:tcPr>
            <w:tcW w:w="6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9</w:t>
            </w:r>
          </w:p>
        </w:tc>
      </w:tr>
      <w:tr>
        <w:trPr>
          <w:trHeight w:val="559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Всего по муниципальной подпрограмме, в том числе: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639091057,48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112511422,01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211339869,89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140670932,32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112083866,66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116484966,66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101086500,0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101086500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  <w:t>5920045574,48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112511422,01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110253369,89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140670932,32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1122083866,66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116484966,66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02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1. Капитальные вложения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Всего по направлению «Капитальные вложения», в том числе: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41 404 435,76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7529435,76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1651811,14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41 404 435,76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7529435,76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  <w:t>1651811,14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Приобретение дорожно-строительной, коммунальной и другой техники, оборудования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3365333,33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3365333,33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7.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3365333,3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3365333,33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4164102,43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4164102,43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3.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4164102,43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4164102,43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102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2.  Научно-исследовательские и опытно-конструкторские работы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106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Всего по направлению «Научно-исследовательские и опытно-конструкторские работы», в том числе: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102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3. Прочие нужды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1249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Всего по направлению «Прочие нужды», в том числе: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316321856,14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104981986,25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before="0" w:after="200"/>
              <w:jc w:val="center"/>
              <w:rPr>
                <w:color w:val="000000"/>
              </w:rPr>
            </w:pPr>
            <w:r>
              <w:rPr>
                <w:rFonts w:eastAsia="" w:cs="" w:ascii="Liberation Serif" w:hAnsi="Liberation Serif" w:cstheme="minorBidi" w:eastAsiaTheme="minorEastAsia"/>
                <w:color w:val="000000"/>
                <w:kern w:val="0"/>
                <w:sz w:val="22"/>
                <w:szCs w:val="22"/>
                <w:lang w:val="ru-RU" w:eastAsia="ru-RU" w:bidi="ar-SA"/>
              </w:rPr>
              <w:t>211339869,89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  <w:t>101086500,0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101086500,0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" w:cs="" w:asciiTheme="minorHAnsi" w:cstheme="minorBidi" w:eastAsiaTheme="minorEastAsia" w:hAnsiTheme="minorHAns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215235356,14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104981986,25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110253369,89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1050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184 403 963,35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25929363,76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27928269,03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39 326 162 ,30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40 600 112,30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42 800 662,30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1.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184 403 963,35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25929363,76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27928269,03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39 326 162 ,30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40 600 112,30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42 800 662,30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1110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234 921 347,79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59434159,53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63638954,40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49 454 770,02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36 593 754,36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38 794 304,36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2.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234 921 347,79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59434159,53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63638954,40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49 454 770,02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36 593 754,36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38 794 304,36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57958650,37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15550650,37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14 136 000,0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14 136 000,0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14 136 000,0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2.1.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  <w:t>57958650,37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15550650,37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14 136 000,0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14 136 000,0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14 136 000,0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130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Обустройство автодорог вблизи образовательных организаций в соответствии с требованиями национальных стандартов за счет средств дорожного фонда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2607639,45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2607639,45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5.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  <w:t>2607639,45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2607639,45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Приобретение и установка дорожных знаков за счет средств Дорожного фонда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2883326,33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718158,31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" w:cs="" w:asciiTheme="minorHAnsi" w:cstheme="minorBidi" w:eastAsiaTheme="minorEastAsia" w:hAnsiTheme="minorHAns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665168,02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500000,00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4.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  <w:t>2883326,33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718158,31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" w:cs="" w:asciiTheme="minorHAnsi" w:cstheme="minorBidi" w:eastAsiaTheme="minorEastAsia" w:hAnsiTheme="minorHAns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 w:ascii="Liberation Serif" w:hAnsi="Liberation Serif" w:cstheme="minorBidi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665168,02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500000,00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500000,00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Организация транспортного обслуживания населения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121186654,28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2469654,28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2217000,00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2 500 000,00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2 500 000,00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2 500 000,00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8.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  <w:t>12186654,28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2469654,28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2217000,00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2 500 000,00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2 500 000,00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2 500 000,00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1290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Опубликование правовых актов и другой официальной информации органов местного самоуправления Шалинского городского округа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4353000,0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880000,00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836000,00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879 000,00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879 000,00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879 000,00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9.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  <w:t>4353000,0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880000,00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  <w:t>836</w:t>
            </w: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879 000,00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879 000,00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879 000,00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1290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Обустройство транспортной инфраструктурой земельных участков для индивидуального жилищного строительства многодетным семьям за счет Денежного фонда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74665000,0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7040000,00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16875000,00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16 875 000,00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16 875 000,00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3.1.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  <w:t>74665000,0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7040000,00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 w:eastAsia="" w:cs="" w:cstheme="minorBidi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 w:ascii="Liberation Serif" w:hAnsi="Liberation Serif" w:cstheme="minorBidi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16875000,00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  <w:t>16 875 000,00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  <w:t>16 875 000,00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Строительство мостового перехода через р.Чусовая в с.Чусовое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b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10640680,0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color w:val="000000"/>
                <w:sz w:val="22"/>
                <w:szCs w:val="22"/>
              </w:rPr>
              <w:t>106406800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b/>
                <w:color w:val="000000"/>
                <w:sz w:val="22"/>
                <w:szCs w:val="22"/>
              </w:rPr>
              <w:t>6.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  <w:t>101086500,0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101086500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ru-RU" w:bidi="ar-SA"/>
              </w:rPr>
              <w:t>5320300,0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5320300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2"/>
                <w:szCs w:val="22"/>
              </w:rPr>
              <w:t>Обустройство транспортной инфраструктурой земельных участков для индивидуального жилищного строительства многодетным семьям  фонда</w:t>
            </w:r>
          </w:p>
        </w:tc>
        <w:tc>
          <w:tcPr>
            <w:tcW w:w="14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17000000,00</w:t>
            </w:r>
          </w:p>
        </w:tc>
        <w:tc>
          <w:tcPr>
            <w:tcW w:w="118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113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17000000,00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15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3.1.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18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113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15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17000000,00</w:t>
            </w:r>
          </w:p>
        </w:tc>
        <w:tc>
          <w:tcPr>
            <w:tcW w:w="118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113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17000000,00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15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Liberation Serif" w:hAnsi="Liberation Serif"/>
          <w:sz w:val="22"/>
          <w:szCs w:val="22"/>
        </w:rPr>
      </w:pPr>
      <w:r>
        <w:rPr/>
      </w:r>
    </w:p>
    <w:sectPr>
      <w:type w:val="nextPage"/>
      <w:pgSz w:w="11906" w:h="16838"/>
      <w:pgMar w:left="851" w:right="567" w:header="0" w:top="113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6be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4865e9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Normal"/>
    <w:next w:val="Normal"/>
    <w:link w:val="30"/>
    <w:unhideWhenUsed/>
    <w:qFormat/>
    <w:rsid w:val="004865e9"/>
    <w:pPr>
      <w:keepNext w:val="true"/>
      <w:spacing w:lineRule="auto" w:line="240"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link w:val="a3"/>
    <w:qFormat/>
    <w:rsid w:val="009b2282"/>
    <w:rPr>
      <w:rFonts w:ascii="Times New Roman" w:hAnsi="Times New Roman" w:eastAsia="Times New Roman" w:cs="Times New Roman"/>
      <w:sz w:val="20"/>
      <w:szCs w:val="20"/>
    </w:rPr>
  </w:style>
  <w:style w:type="character" w:styleId="Style13" w:customStyle="1">
    <w:name w:val="Основной текст Знак"/>
    <w:basedOn w:val="DefaultParagraphFont"/>
    <w:link w:val="a5"/>
    <w:uiPriority w:val="99"/>
    <w:semiHidden/>
    <w:qFormat/>
    <w:rsid w:val="004865e9"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4865e9"/>
    <w:rPr>
      <w:rFonts w:ascii="Times New Roman" w:hAnsi="Times New Roman" w:eastAsia="Times New Roman" w:cs="Times New Roman"/>
      <w:b/>
      <w:sz w:val="28"/>
      <w:szCs w:val="20"/>
    </w:rPr>
  </w:style>
  <w:style w:type="character" w:styleId="31" w:customStyle="1">
    <w:name w:val="Заголовок 3 Знак"/>
    <w:basedOn w:val="DefaultParagraphFont"/>
    <w:link w:val="3"/>
    <w:qFormat/>
    <w:rsid w:val="004865e9"/>
    <w:rPr>
      <w:rFonts w:ascii="Cambria" w:hAnsi="Cambria" w:eastAsia="Times New Roman" w:cs="Times New Roman"/>
      <w:b/>
      <w:bCs/>
      <w:sz w:val="26"/>
      <w:szCs w:val="26"/>
    </w:rPr>
  </w:style>
  <w:style w:type="character" w:styleId="Style14" w:customStyle="1">
    <w:name w:val="Название Знак"/>
    <w:basedOn w:val="DefaultParagraphFont"/>
    <w:link w:val="a7"/>
    <w:qFormat/>
    <w:rsid w:val="004865e9"/>
    <w:rPr>
      <w:rFonts w:ascii="Times New Roman" w:hAnsi="Times New Roman" w:eastAsia="Times New Roman" w:cs="Times New Roman"/>
      <w:sz w:val="28"/>
      <w:szCs w:val="20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3020c6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6"/>
    <w:uiPriority w:val="99"/>
    <w:semiHidden/>
    <w:unhideWhenUsed/>
    <w:rsid w:val="004865e9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PlusCell" w:customStyle="1">
    <w:name w:val="ConsPlusCell"/>
    <w:uiPriority w:val="99"/>
    <w:qFormat/>
    <w:rsid w:val="009b2282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9b2282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en-US" w:bidi="ar-SA"/>
    </w:rPr>
  </w:style>
  <w:style w:type="paragraph" w:styleId="ConsPlusTitle" w:customStyle="1">
    <w:name w:val="ConsPlusTitle"/>
    <w:qFormat/>
    <w:rsid w:val="009b2282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21">
    <w:name w:val="Body Text Indent"/>
    <w:basedOn w:val="Normal"/>
    <w:link w:val="a4"/>
    <w:unhideWhenUsed/>
    <w:rsid w:val="009b2282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Style22">
    <w:name w:val="Title"/>
    <w:basedOn w:val="Normal"/>
    <w:link w:val="a8"/>
    <w:qFormat/>
    <w:rsid w:val="004865e9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21" w:customStyle="1">
    <w:name w:val="Основной текст с отступом 21"/>
    <w:basedOn w:val="Normal"/>
    <w:qFormat/>
    <w:rsid w:val="004865e9"/>
    <w:pPr>
      <w:suppressAutoHyphens w:val="true"/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865e9"/>
    <w:pPr>
      <w:spacing w:before="0" w:after="200"/>
      <w:ind w:left="720" w:hanging="0"/>
      <w:contextualSpacing/>
    </w:pPr>
    <w:rPr>
      <w:rFonts w:ascii="Calibri" w:hAnsi="Calibri" w:eastAsia="Calibri" w:cs="Times New Roman"/>
      <w:lang w:eastAsia="en-US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3020c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c578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92E3-839C-498B-9D55-2D1DEADF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Application>LibreOffice/6.4.4.2$Windows_X86_64 LibreOffice_project/3d775be2011f3886db32dfd395a6a6d1ca2630ff</Application>
  <Pages>11</Pages>
  <Words>1710</Words>
  <Characters>11153</Characters>
  <CharactersWithSpaces>12390</CharactersWithSpaces>
  <Paragraphs>645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2023-08-17T03:34:00Z</dcterms:created>
  <dc:creator>123</dc:creator>
  <dc:description/>
  <dc:language>ru-RU</dc:language>
  <cp:lastModifiedBy/>
  <cp:lastPrinted>2024-05-29T14:53:15Z</cp:lastPrinted>
  <dcterms:modified xsi:type="dcterms:W3CDTF">2024-06-06T12:19:47Z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