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Liberation Serif" w:hAnsi="Liberation Serif"/>
          <w:b/>
          <w:b/>
          <w:szCs w:val="28"/>
        </w:rPr>
      </w:pPr>
      <w:r>
        <w:rPr>
          <w:rFonts w:ascii="Liberation Serif" w:hAnsi="Liberation Serif"/>
          <w:b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2857500</wp:posOffset>
            </wp:positionH>
            <wp:positionV relativeFrom="paragraph">
              <wp:posOffset>124460</wp:posOffset>
            </wp:positionV>
            <wp:extent cx="650240" cy="848360"/>
            <wp:effectExtent l="0" t="0" r="0" b="0"/>
            <wp:wrapTight wrapText="bothSides">
              <wp:wrapPolygon edited="0">
                <wp:start x="-702" y="0"/>
                <wp:lineTo x="-702" y="20631"/>
                <wp:lineTo x="20822" y="20631"/>
                <wp:lineTo x="20822" y="0"/>
                <wp:lineTo x="-702" y="0"/>
              </wp:wrapPolygon>
            </wp:wrapTight>
            <wp:docPr id="1" name="Рисунок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9"/>
        <w:jc w:val="center"/>
        <w:rPr>
          <w:rFonts w:ascii="Liberation Serif" w:hAnsi="Liberation Serif"/>
          <w:b/>
          <w:b/>
          <w:szCs w:val="28"/>
        </w:rPr>
      </w:pPr>
      <w:r>
        <w:rPr>
          <w:rFonts w:ascii="Liberation Serif" w:hAnsi="Liberation Serif"/>
          <w:b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/>
          <w:b/>
          <w:b/>
          <w:szCs w:val="28"/>
        </w:rPr>
      </w:pPr>
      <w:r>
        <w:rPr>
          <w:rFonts w:ascii="Liberation Serif" w:hAnsi="Liberation Serif"/>
          <w:b/>
          <w:szCs w:val="28"/>
        </w:rPr>
      </w:r>
    </w:p>
    <w:p>
      <w:pPr>
        <w:pStyle w:val="Normal"/>
        <w:ind w:firstLine="709"/>
        <w:jc w:val="center"/>
        <w:rPr>
          <w:rFonts w:ascii="Liberation Serif" w:hAnsi="Liberation Serif"/>
          <w:b/>
          <w:b/>
          <w:szCs w:val="28"/>
        </w:rPr>
      </w:pPr>
      <w:r>
        <w:rPr>
          <w:rFonts w:ascii="Liberation Serif" w:hAnsi="Liberation Serif"/>
          <w:b/>
          <w:szCs w:val="28"/>
        </w:rPr>
      </w:r>
    </w:p>
    <w:p>
      <w:pPr>
        <w:pStyle w:val="Style25"/>
        <w:rPr>
          <w:rFonts w:ascii="Liberation Serif" w:hAnsi="Liberation Serif"/>
          <w:b w:val="false"/>
          <w:b w:val="false"/>
          <w:szCs w:val="28"/>
        </w:rPr>
      </w:pPr>
      <w:r>
        <w:rPr>
          <w:rFonts w:ascii="Liberation Serif" w:hAnsi="Liberation Serif"/>
          <w:b w:val="false"/>
          <w:szCs w:val="28"/>
        </w:rPr>
      </w:r>
    </w:p>
    <w:p>
      <w:pPr>
        <w:pStyle w:val="Style25"/>
        <w:rPr>
          <w:rFonts w:ascii="Liberation Serif" w:hAnsi="Liberation Serif"/>
          <w:b w:val="false"/>
          <w:b w:val="false"/>
          <w:szCs w:val="28"/>
        </w:rPr>
      </w:pPr>
      <w:r>
        <w:rPr>
          <w:rFonts w:ascii="Liberation Serif" w:hAnsi="Liberation Serif"/>
          <w:b w:val="false"/>
          <w:szCs w:val="28"/>
        </w:rPr>
      </w:r>
    </w:p>
    <w:p>
      <w:pPr>
        <w:pStyle w:val="Style25"/>
        <w:spacing w:before="0" w:after="0"/>
        <w:rPr>
          <w:rFonts w:ascii="Liberation Serif" w:hAnsi="Liberation Serif"/>
          <w:b w:val="false"/>
          <w:b w:val="false"/>
          <w:szCs w:val="28"/>
        </w:rPr>
      </w:pPr>
      <w:r>
        <w:rPr>
          <w:rFonts w:ascii="Liberation Serif" w:hAnsi="Liberation Serif"/>
          <w:szCs w:val="28"/>
        </w:rPr>
        <w:t>АДМИНИСТРАЦИЯ ШАЛИНСКОГО ГОРОДСКОГО ОКРУГА</w:t>
      </w:r>
    </w:p>
    <w:p>
      <w:pPr>
        <w:pStyle w:val="1"/>
        <w:spacing w:before="108" w:after="0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ПОСТАНОВЛЕНИЕ</w:t>
      </w:r>
    </w:p>
    <w:tbl>
      <w:tblPr>
        <w:tblW w:w="101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52"/>
      </w:tblGrid>
      <w:tr>
        <w:trPr>
          <w:trHeight w:val="216" w:hRule="atLeast"/>
        </w:trPr>
        <w:tc>
          <w:tcPr>
            <w:tcW w:w="10152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ind w:firstLine="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«___»___________20___ года № _________                                                ПРОЕКТ</w:t>
      </w:r>
    </w:p>
    <w:p>
      <w:pPr>
        <w:pStyle w:val="Normal"/>
        <w:widowControl w:val="fals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Шаля</w:t>
      </w:r>
    </w:p>
    <w:p>
      <w:pPr>
        <w:pStyle w:val="Normal"/>
        <w:widowControl w:val="fals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i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постановление администрации Шалинского городского округа от 09.10.2020 г. № 584 «Об утверждении муниципальной программы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i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«Формирование законопослушного поведения участников дорожного движения в Шалинском городском округе до 2024 года»</w:t>
      </w:r>
    </w:p>
    <w:p>
      <w:pPr>
        <w:pStyle w:val="Normal"/>
        <w:tabs>
          <w:tab w:val="clear" w:pos="708"/>
          <w:tab w:val="left" w:pos="6728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округа», администрация Шалинского городского округа:</w:t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Внести изменения в муниципальную программу «Формирование законопослушного поведения участников дорожного движения Шалинского городского округа до 2024 года»:</w:t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1.1.Наименование муниципальной программы «Формирование законопослушного поведения участников дорожного движения Шалинского городского округа до 2024 года» читать в следующей редакции «Формирование законопослушного поведения участников дорожного движения Шалинского городского округа до 2026 года».</w:t>
      </w:r>
    </w:p>
    <w:p>
      <w:pPr>
        <w:pStyle w:val="Normal"/>
        <w:tabs>
          <w:tab w:val="clear" w:pos="708"/>
          <w:tab w:val="left" w:pos="6728" w:leader="none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Паспорт муниципальной </w:t>
      </w:r>
      <w:r>
        <w:rPr>
          <w:rFonts w:ascii="Liberation Serif" w:hAnsi="Liberation Serif"/>
          <w:sz w:val="28"/>
          <w:szCs w:val="28"/>
        </w:rPr>
        <w:t>программы «Формирование законопослушного поведения участников дорожного движения Шалинского городского округа до 2026 года» изложить в следующей редакции:</w:t>
      </w:r>
    </w:p>
    <w:p>
      <w:pPr>
        <w:pStyle w:val="Normal"/>
        <w:widowControl w:val="false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widowControl w:val="false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ПАСПОРТ</w:t>
      </w:r>
    </w:p>
    <w:p>
      <w:pPr>
        <w:pStyle w:val="Normal"/>
        <w:widowControl w:val="false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Муниципальной программы</w:t>
      </w:r>
    </w:p>
    <w:p>
      <w:pPr>
        <w:pStyle w:val="Normal"/>
        <w:jc w:val="center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«Формирование законопослушного поведения участников дорожного движения в Шалинском городском округе до 2026 года»</w:t>
      </w:r>
    </w:p>
    <w:p>
      <w:pPr>
        <w:pStyle w:val="Normal"/>
        <w:jc w:val="center"/>
        <w:rPr>
          <w:rFonts w:ascii="Liberation Serif" w:hAnsi="Liberation Serif"/>
          <w:b/>
          <w:b/>
          <w:u w:val="single"/>
        </w:rPr>
      </w:pPr>
      <w:r>
        <w:rPr>
          <w:rFonts w:ascii="Liberation Serif" w:hAnsi="Liberation Serif"/>
          <w:b/>
          <w:u w:val="single"/>
        </w:rPr>
      </w:r>
    </w:p>
    <w:tbl>
      <w:tblPr>
        <w:tblW w:w="10280" w:type="dxa"/>
        <w:jc w:val="left"/>
        <w:tblInd w:w="75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2573"/>
        <w:gridCol w:w="7706"/>
      </w:tblGrid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Ответственные исполнители  программы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Администрация Шалинского городского округа</w:t>
            </w:r>
          </w:p>
        </w:tc>
      </w:tr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2020-2026 годы</w:t>
            </w:r>
          </w:p>
        </w:tc>
      </w:tr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Цели и задачи программы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</w:rPr>
              <w:t xml:space="preserve">Цели программы: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ind w:lef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сокращение количества дорожно-транспортных происшествий с пострадавшими;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ind w:lef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ind w:left="0" w:hang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профилактика детского дорожно-транспортного травматизма в Шалинском городском округе.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Задачи программы: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</w:rPr>
              <w:t>3) Формирование у детей навыков безопасного поведения на дорогах.</w:t>
            </w:r>
          </w:p>
        </w:tc>
      </w:tr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Перечень основных целевых показателей программы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округа;</w:t>
            </w:r>
          </w:p>
          <w:p>
            <w:pPr>
              <w:pStyle w:val="ConsPlusCel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обустроенных кабинетов по безопасности дорожного движения «Светофор»;</w:t>
            </w:r>
          </w:p>
          <w:p>
            <w:pPr>
              <w:pStyle w:val="ConsPlusCell"/>
              <w:numPr>
                <w:ilvl w:val="0"/>
                <w:numId w:val="2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приобретенных наглядных и учебно-методических пособий по безопасности дорожного движения.</w:t>
            </w:r>
          </w:p>
          <w:p>
            <w:pPr>
              <w:pStyle w:val="ConsPlusCell"/>
              <w:numPr>
                <w:ilvl w:val="0"/>
                <w:numId w:val="2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приобретенных световозвращающих элементов.</w:t>
            </w:r>
          </w:p>
        </w:tc>
      </w:tr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Объемы финансирования программы по годам реализации, рублей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ВСЕГО: 639 521,00 рублей,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 том числе местный бюджет: 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2020 год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– </w:t>
            </w:r>
            <w:r>
              <w:rPr>
                <w:rFonts w:ascii="Liberation Serif" w:hAnsi="Liberation Serif"/>
                <w:sz w:val="22"/>
                <w:szCs w:val="22"/>
              </w:rPr>
              <w:t>206 700,00 рублей;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2021 год – 195 000,00 рублей;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 год – 47 821,00 рублей;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95 000,00 рублей;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95 000,00 рублей.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год- 0,00 рублей.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 год - 0,00 рублей.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бюджета: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Областной бюджет: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Местный бюджет: 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2020 год -  206 700,00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2021 год -  195 000,00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2022 год – 47 821,00 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95 000,00</w:t>
              <w:tab/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 95 000,00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Внебюджетные источники: 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2020 год - 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2021 год - 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2022 год – </w:t>
            </w:r>
            <w:r>
              <w:rPr>
                <w:rFonts w:ascii="Liberation Serif" w:hAnsi="Liberation Serif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,00 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0,00</w:t>
              <w:tab/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 год – 0,00</w:t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Адрес размещения программы в сети Интернет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Официальный сайт администрации Шалинского городского округа http://shalya.ru/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Приложения № 1 и № 2 изложить в новой редакции (прилагается).</w:t>
      </w:r>
      <w:bookmarkStart w:id="0" w:name="sub_2"/>
      <w:bookmarkEnd w:id="0"/>
    </w:p>
    <w:p>
      <w:pPr>
        <w:pStyle w:val="Normal"/>
        <w:widowControl w:val="false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постановление опубликовать в газете «Шалинский вестник», и разместить на официальном сайте администрации Шалинского городского округа в телекоммуникационной сети Интернет.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Liberation Serif" w:hAnsi="Liberation Serif"/>
          <w:sz w:val="28"/>
          <w:szCs w:val="28"/>
        </w:rPr>
        <w:t>заместителя главы   – начальника отдела администрации Шалинского городского округа Шмырина В.С.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sectPr>
          <w:type w:val="nextPage"/>
          <w:pgSz w:w="11906" w:h="16838"/>
          <w:pgMar w:left="1134" w:right="567" w:header="0" w:top="567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Глава Шалинского городского округа                                                      А.П. Богатырев</w:t>
      </w:r>
    </w:p>
    <w:p>
      <w:pPr>
        <w:pStyle w:val="ConsPlusTitle"/>
        <w:widowControl/>
        <w:ind w:left="5245" w:hanging="0"/>
        <w:jc w:val="right"/>
        <w:rPr>
          <w:rFonts w:ascii="Liberation Serif" w:hAnsi="Liberation Serif"/>
          <w:b w:val="false"/>
          <w:b w:val="false"/>
          <w:sz w:val="22"/>
          <w:szCs w:val="22"/>
        </w:rPr>
      </w:pPr>
      <w:r>
        <w:rPr>
          <w:rFonts w:ascii="Liberation Serif" w:hAnsi="Liberation Serif"/>
          <w:b w:val="false"/>
          <w:sz w:val="22"/>
          <w:szCs w:val="22"/>
        </w:rPr>
        <w:t>Приложение к постановлению администрации</w:t>
      </w:r>
    </w:p>
    <w:p>
      <w:pPr>
        <w:pStyle w:val="ConsPlusTitle"/>
        <w:widowControl/>
        <w:ind w:left="5245" w:hanging="0"/>
        <w:jc w:val="right"/>
        <w:rPr>
          <w:rFonts w:ascii="Liberation Serif" w:hAnsi="Liberation Serif"/>
          <w:b w:val="false"/>
          <w:b w:val="false"/>
          <w:sz w:val="22"/>
          <w:szCs w:val="22"/>
        </w:rPr>
      </w:pPr>
      <w:r>
        <w:rPr>
          <w:rFonts w:ascii="Liberation Serif" w:hAnsi="Liberation Serif"/>
          <w:b w:val="false"/>
          <w:sz w:val="22"/>
          <w:szCs w:val="22"/>
        </w:rPr>
        <w:t>Шалинского городского округа</w:t>
      </w:r>
    </w:p>
    <w:p>
      <w:pPr>
        <w:pStyle w:val="ConsPlusTitle"/>
        <w:widowControl/>
        <w:ind w:left="5245" w:hanging="0"/>
        <w:jc w:val="right"/>
        <w:rPr>
          <w:rFonts w:ascii="Liberation Serif" w:hAnsi="Liberation Serif"/>
          <w:b w:val="false"/>
          <w:b w:val="false"/>
          <w:sz w:val="22"/>
          <w:szCs w:val="22"/>
        </w:rPr>
      </w:pPr>
      <w:r>
        <w:rPr>
          <w:rFonts w:ascii="Liberation Serif" w:hAnsi="Liberation Serif"/>
          <w:b w:val="false"/>
          <w:sz w:val="22"/>
          <w:szCs w:val="22"/>
        </w:rPr>
        <w:t>От «____»___________ 20____ г. № _______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1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муниципальной программе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«Формирование законопослушного поведения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участников дорожного движения 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Шалинском городском округе до 2026 года»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Цели, задачи и целевые показатели реализации  муниципальной программы «Формирование законопослушного поведения участников дорожного движения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в Шалинском городском округе до 2026 года»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tbl>
      <w:tblPr>
        <w:tblW w:w="13959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710"/>
        <w:gridCol w:w="5772"/>
        <w:gridCol w:w="1287"/>
        <w:gridCol w:w="635"/>
        <w:gridCol w:w="663"/>
        <w:gridCol w:w="634"/>
        <w:gridCol w:w="554"/>
        <w:gridCol w:w="634"/>
        <w:gridCol w:w="632"/>
        <w:gridCol w:w="554"/>
        <w:gridCol w:w="1882"/>
      </w:tblGrid>
      <w:tr>
        <w:trPr>
          <w:trHeight w:val="161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стро-ки</w:t>
            </w:r>
          </w:p>
        </w:tc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цели, задачи и целевого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4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Значение целевого показателя реализации муниципальной программы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Источник значений показателей</w:t>
            </w:r>
          </w:p>
        </w:tc>
      </w:tr>
      <w:tr>
        <w:trPr>
          <w:trHeight w:val="16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5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2020 год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2021 год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 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 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>
          <w:trHeight w:val="14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>
        <w:trPr>
          <w:trHeight w:val="17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>
        <w:trPr>
          <w:trHeight w:val="4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>
        <w:trPr>
          <w:trHeight w:val="23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Цель 2«Повышение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>
        <w:trPr>
          <w:trHeight w:val="26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 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>
        <w:trPr>
          <w:trHeight w:val="11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>Цель 3 «Профилактика детского дорожно-транспортного травматизма в Шалинском городском округе»</w:t>
            </w:r>
          </w:p>
        </w:tc>
      </w:tr>
      <w:tr>
        <w:trPr>
          <w:trHeight w:val="11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 «Формирование у детей навыков безопасного поведения на дорогах»</w:t>
            </w:r>
          </w:p>
        </w:tc>
      </w:tr>
      <w:tr>
        <w:trPr>
          <w:trHeight w:val="20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>
        <w:trPr>
          <w:trHeight w:val="6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приобретенных световозращающих элементов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ОГИБДД МО МВД России «Шалинский»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2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муниципальной программе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«Формирование законопослушного поведения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участников дорожного движения 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Шалинском городском округе до 2026 года»</w:t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мероприятий по выполнению муниципальной программы «Формирование законопослушного поведения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участников дорожного движения в Шалинском городском округе до 2026 года»</w:t>
      </w:r>
    </w:p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tbl>
      <w:tblPr>
        <w:tblW w:w="15183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"/>
        <w:gridCol w:w="2268"/>
        <w:gridCol w:w="1418"/>
        <w:gridCol w:w="1417"/>
        <w:gridCol w:w="1418"/>
        <w:gridCol w:w="1275"/>
        <w:gridCol w:w="1277"/>
        <w:gridCol w:w="1274"/>
        <w:gridCol w:w="712"/>
        <w:gridCol w:w="847"/>
        <w:gridCol w:w="2551"/>
      </w:tblGrid>
      <w:tr>
        <w:trPr>
          <w:trHeight w:val="1800" w:hRule="atLeast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Наименование мероприятия, Источники ресурсного обеспечения </w:t>
            </w:r>
          </w:p>
        </w:tc>
        <w:tc>
          <w:tcPr>
            <w:tcW w:w="963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Объем расходов за счет всех источников ресурсного обеспечения, рублей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Номер строки целевых показателей, на достижение которых направлены мероприятия </w:t>
            </w:r>
          </w:p>
        </w:tc>
      </w:tr>
      <w:tr>
        <w:trPr>
          <w:trHeight w:val="1815" w:hRule="atLeast"/>
        </w:trPr>
        <w:tc>
          <w:tcPr>
            <w:tcW w:w="72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строки</w:t>
            </w:r>
          </w:p>
        </w:tc>
        <w:tc>
          <w:tcPr>
            <w:tcW w:w="22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9638" w:type="dxa"/>
            <w:gridSpan w:val="8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Всего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2022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2024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2025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2026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</w:tr>
      <w:tr>
        <w:trPr>
          <w:trHeight w:val="18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ВСЕГО ПО МУНИЦИПАЛЬНОЙ ПРОГРАММЕ, В ТОМ ЧИСЛЕ: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639 521,00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206 700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0,00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0,00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639 521,00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206 700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0,00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0,00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Капитальные вложения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8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9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Прочие нужды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639 521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206 700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0,00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0,00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13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14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639 521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206 700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95 000,00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16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66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17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Участие детей Шалинского городского округа в областном соревновании юных инспекторов движения «Безопасное колесо»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31 000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18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19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3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Проведение конкурса детского рисунка «Дорога и Мы» 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23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24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26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45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Приобретение и распространение среди детей световозвращающих элементов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21 400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11 400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28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29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21 400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11 400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57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Организация и проведение муниципального соревнования юных инспекторов движения «Безопасное колесо»,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207 441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12 000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47 620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33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34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207 441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47 620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47 821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36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54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Организация и проведение муниципального конкурса видеороликов в рамках акции «Юный пешеход»,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8 450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8 450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38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39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8 450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8 450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</w:tr>
      <w:tr>
        <w:trPr>
          <w:trHeight w:val="48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Приобретение учебно-методической литературы по безопасности дорожного движения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43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44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46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42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Обустройство кабинетов безопасности дорожного движения «Светофор» всего, из них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200 000,00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48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49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50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100 000,00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36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52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121 300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83 300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24 000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7 000</w:t>
            </w:r>
            <w:r>
              <w:rPr>
                <w:rFonts w:cs="Liberation Serif" w:ascii="Liberation Serif" w:hAnsi="Liberation Serif"/>
                <w:b/>
                <w:bCs/>
                <w:color w:val="000000"/>
              </w:rPr>
              <w:t>,00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53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>Федеральный бюджет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54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/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7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/>
              <w:t>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121 300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83 300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7 000</w:t>
            </w:r>
            <w:r>
              <w:rPr>
                <w:rFonts w:cs="Liberation Serif" w:ascii="Liberation Serif" w:hAnsi="Liberation Serif"/>
                <w:color w:val="000000"/>
              </w:rPr>
              <w:t>,00</w:t>
            </w:r>
          </w:p>
        </w:tc>
        <w:tc>
          <w:tcPr>
            <w:tcW w:w="7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Внебюджетные источники</w:t>
              <w:tab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2" w:right="720" w:header="0" w:top="1276" w:footer="0" w:bottom="709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276" w:right="707" w:header="0" w:top="720" w:footer="0" w:bottom="90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5215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523b6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uiPriority w:val="99"/>
    <w:rsid w:val="003325c7"/>
    <w:rPr>
      <w:color w:val="0000FF"/>
      <w:u w:val="single"/>
    </w:rPr>
  </w:style>
  <w:style w:type="character" w:styleId="Style14" w:customStyle="1">
    <w:name w:val="Основной текст Знак"/>
    <w:qFormat/>
    <w:rsid w:val="00fe7cfe"/>
    <w:rPr>
      <w:sz w:val="24"/>
      <w:szCs w:val="24"/>
      <w:lang w:val="ru-RU" w:eastAsia="ru-RU" w:bidi="ar-SA"/>
    </w:rPr>
  </w:style>
  <w:style w:type="character" w:styleId="Style15" w:customStyle="1">
    <w:name w:val="Текст выноски Знак"/>
    <w:semiHidden/>
    <w:qFormat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styleId="Style16" w:customStyle="1">
    <w:name w:val="Гипертекстовая ссылка"/>
    <w:qFormat/>
    <w:rsid w:val="00365003"/>
    <w:rPr>
      <w:b/>
      <w:color w:val="106BBE"/>
    </w:rPr>
  </w:style>
  <w:style w:type="character" w:styleId="Style17" w:customStyle="1">
    <w:name w:val="Цветовое выделение"/>
    <w:qFormat/>
    <w:rsid w:val="00f46513"/>
    <w:rPr>
      <w:b/>
      <w:color w:val="000080"/>
    </w:rPr>
  </w:style>
  <w:style w:type="character" w:styleId="FontStyle11" w:customStyle="1">
    <w:name w:val="Font Style11"/>
    <w:qFormat/>
    <w:rsid w:val="00fa153b"/>
    <w:rPr>
      <w:rFonts w:ascii="Times New Roman" w:hAnsi="Times New Roman" w:cs="Times New Roman"/>
      <w:sz w:val="30"/>
      <w:szCs w:val="30"/>
    </w:rPr>
  </w:style>
  <w:style w:type="character" w:styleId="Appleconvertedspace" w:customStyle="1">
    <w:name w:val="apple-converted-space"/>
    <w:qFormat/>
    <w:rsid w:val="00a550a1"/>
    <w:rPr/>
  </w:style>
  <w:style w:type="character" w:styleId="Style18" w:customStyle="1">
    <w:name w:val="Название Знак"/>
    <w:basedOn w:val="DefaultParagraphFont"/>
    <w:qFormat/>
    <w:rsid w:val="00960134"/>
    <w:rPr>
      <w:b/>
      <w:bCs/>
      <w:sz w:val="28"/>
      <w:szCs w:val="24"/>
    </w:rPr>
  </w:style>
  <w:style w:type="character" w:styleId="Strong">
    <w:name w:val="Strong"/>
    <w:basedOn w:val="DefaultParagraphFont"/>
    <w:qFormat/>
    <w:rsid w:val="00170e46"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fe7cfe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cc6ef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cc6ef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4" w:customStyle="1">
    <w:name w:val="Знак"/>
    <w:basedOn w:val="Normal"/>
    <w:qFormat/>
    <w:rsid w:val="00021013"/>
    <w:pPr/>
    <w:rPr>
      <w:rFonts w:ascii="Verdana" w:hAnsi="Verdana" w:cs="Verdana"/>
      <w:sz w:val="20"/>
      <w:szCs w:val="20"/>
      <w:lang w:val="en-US" w:eastAsia="en-US"/>
    </w:rPr>
  </w:style>
  <w:style w:type="paragraph" w:styleId="Style25">
    <w:name w:val="Title"/>
    <w:basedOn w:val="Normal"/>
    <w:qFormat/>
    <w:rsid w:val="001060db"/>
    <w:pPr>
      <w:spacing w:before="0" w:after="240"/>
      <w:jc w:val="center"/>
    </w:pPr>
    <w:rPr>
      <w:b/>
      <w:bCs/>
      <w:sz w:val="28"/>
    </w:rPr>
  </w:style>
  <w:style w:type="paragraph" w:styleId="ConsPlusNormal" w:customStyle="1">
    <w:name w:val="ConsPlusNormal"/>
    <w:qFormat/>
    <w:rsid w:val="001060d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11" w:customStyle="1">
    <w:name w:val="Знак1"/>
    <w:basedOn w:val="Normal"/>
    <w:qFormat/>
    <w:rsid w:val="00341292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 w:customStyle="1">
    <w:name w:val="Знак2"/>
    <w:basedOn w:val="Normal"/>
    <w:qFormat/>
    <w:rsid w:val="00113b18"/>
    <w:pPr/>
    <w:rPr>
      <w:rFonts w:ascii="Verdana" w:hAnsi="Verdana" w:cs="Verdana"/>
      <w:sz w:val="20"/>
      <w:szCs w:val="20"/>
      <w:lang w:val="en-US" w:eastAsia="en-US"/>
    </w:rPr>
  </w:style>
  <w:style w:type="paragraph" w:styleId="Style26" w:customStyle="1">
    <w:name w:val="Знак Знак Знак"/>
    <w:basedOn w:val="Normal"/>
    <w:qFormat/>
    <w:rsid w:val="00071cc3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ConsPlusCell" w:customStyle="1">
    <w:name w:val="ConsPlusCell"/>
    <w:qFormat/>
    <w:rsid w:val="0099245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TMLPreformatted">
    <w:name w:val="HTML Preformatted"/>
    <w:basedOn w:val="Normal"/>
    <w:qFormat/>
    <w:rsid w:val="003523b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unhideWhenUsed/>
    <w:qFormat/>
    <w:rsid w:val="009e04bc"/>
    <w:pPr/>
    <w:rPr>
      <w:rFonts w:ascii="Tahoma" w:hAnsi="Tahoma" w:cs="Tahoma"/>
      <w:sz w:val="16"/>
      <w:szCs w:val="16"/>
    </w:rPr>
  </w:style>
  <w:style w:type="paragraph" w:styleId="Style27" w:customStyle="1">
    <w:name w:val="Прижатый влево"/>
    <w:basedOn w:val="Normal"/>
    <w:next w:val="Normal"/>
    <w:qFormat/>
    <w:rsid w:val="00f46513"/>
    <w:pPr/>
    <w:rPr>
      <w:rFonts w:ascii="Arial" w:hAnsi="Arial"/>
    </w:rPr>
  </w:style>
  <w:style w:type="paragraph" w:styleId="Style28" w:customStyle="1">
    <w:name w:val="Нормальный (таблица)"/>
    <w:basedOn w:val="Normal"/>
    <w:next w:val="Normal"/>
    <w:qFormat/>
    <w:rsid w:val="00f46513"/>
    <w:pPr>
      <w:widowControl w:val="false"/>
      <w:jc w:val="both"/>
    </w:pPr>
    <w:rPr>
      <w:rFonts w:ascii="Arial" w:hAnsi="Arial"/>
    </w:rPr>
  </w:style>
  <w:style w:type="paragraph" w:styleId="Style29" w:customStyle="1">
    <w:name w:val="Знак Знак Знак Знак Знак Знак Знак"/>
    <w:basedOn w:val="Normal"/>
    <w:qFormat/>
    <w:rsid w:val="00645a4e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110" w:customStyle="1">
    <w:name w:val="Style1"/>
    <w:basedOn w:val="Normal"/>
    <w:qFormat/>
    <w:rsid w:val="00fa153b"/>
    <w:pPr>
      <w:widowControl w:val="false"/>
      <w:spacing w:lineRule="exact" w:line="365"/>
      <w:ind w:firstLine="715"/>
      <w:jc w:val="both"/>
    </w:pPr>
    <w:rPr/>
  </w:style>
  <w:style w:type="paragraph" w:styleId="Style30">
    <w:name w:val="Body Text Indent"/>
    <w:basedOn w:val="Normal"/>
    <w:rsid w:val="001f1213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711feb"/>
    <w:pPr>
      <w:spacing w:lineRule="auto" w:line="276" w:beforeAutospacing="1" w:after="142"/>
    </w:pPr>
    <w:rPr/>
  </w:style>
  <w:style w:type="paragraph" w:styleId="ListParagraph">
    <w:name w:val="List Paragraph"/>
    <w:basedOn w:val="Normal"/>
    <w:uiPriority w:val="34"/>
    <w:qFormat/>
    <w:rsid w:val="00cf3161"/>
    <w:pPr>
      <w:spacing w:before="0" w:after="0"/>
      <w:ind w:left="720" w:hanging="0"/>
      <w:contextualSpacing/>
    </w:pPr>
    <w:rPr/>
  </w:style>
  <w:style w:type="paragraph" w:styleId="Style31" w:customStyle="1">
    <w:name w:val="Содержимое таблицы"/>
    <w:basedOn w:val="Normal"/>
    <w:qFormat/>
    <w:pPr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b965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LibreOffice/6.4.4.2$Windows_X86_64 LibreOffice_project/3d775be2011f3886db32dfd395a6a6d1ca2630ff</Application>
  <Pages>16</Pages>
  <Words>1662</Words>
  <Characters>8626</Characters>
  <CharactersWithSpaces>9706</CharactersWithSpaces>
  <Paragraphs>767</Paragraphs>
  <Company>ORGANIZATIA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2023-09-13T10:04:00Z</dcterms:created>
  <dc:creator>Lena</dc:creator>
  <dc:description/>
  <dc:language>ru-RU</dc:language>
  <cp:lastModifiedBy/>
  <cp:lastPrinted>2023-09-29T16:09:53Z</cp:lastPrinted>
  <dcterms:modified xsi:type="dcterms:W3CDTF">2023-09-29T16:16:06Z</dcterms:modified>
  <cp:revision>13</cp:revision>
  <dc:subject/>
  <dc:title>АДМИНИСТРАЦИЯ НЕВЬЯНСКОГО ГОРОДСКОГО ОКРУГА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