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4C15C7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C066BA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</w:t>
      </w:r>
      <w:r w:rsidR="004618F6">
        <w:rPr>
          <w:sz w:val="24"/>
          <w:szCs w:val="24"/>
        </w:rPr>
        <w:t>30</w:t>
      </w:r>
      <w:r w:rsidR="00351DF3" w:rsidRPr="00720C70">
        <w:rPr>
          <w:sz w:val="24"/>
          <w:szCs w:val="24"/>
        </w:rPr>
        <w:t xml:space="preserve"> </w:t>
      </w:r>
      <w:r w:rsidR="00A36AF7">
        <w:rPr>
          <w:sz w:val="24"/>
          <w:szCs w:val="24"/>
        </w:rPr>
        <w:t xml:space="preserve"> </w:t>
      </w:r>
      <w:r w:rsidR="005B5D76">
        <w:rPr>
          <w:sz w:val="24"/>
          <w:szCs w:val="24"/>
        </w:rPr>
        <w:t>ноября</w:t>
      </w:r>
      <w:r w:rsidR="002A6232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C066BA">
        <w:rPr>
          <w:sz w:val="24"/>
          <w:szCs w:val="24"/>
        </w:rPr>
        <w:t>360</w:t>
      </w:r>
    </w:p>
    <w:p w:rsidR="00C066BA" w:rsidRDefault="00C066BA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D72CDC" w:rsidRDefault="000A7553" w:rsidP="00D72CDC">
      <w:pPr>
        <w:jc w:val="center"/>
        <w:rPr>
          <w:b/>
          <w:i/>
          <w:color w:val="000000"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 w:rsidR="00B267FA">
        <w:rPr>
          <w:b/>
          <w:i/>
          <w:sz w:val="24"/>
          <w:szCs w:val="24"/>
        </w:rPr>
        <w:t xml:space="preserve">муниципального образования </w:t>
      </w:r>
      <w:r w:rsidR="005B5D76">
        <w:rPr>
          <w:b/>
          <w:i/>
          <w:sz w:val="24"/>
          <w:szCs w:val="24"/>
        </w:rPr>
        <w:t xml:space="preserve">с. </w:t>
      </w:r>
      <w:r w:rsidR="00B267FA">
        <w:rPr>
          <w:b/>
          <w:i/>
          <w:sz w:val="24"/>
          <w:szCs w:val="24"/>
        </w:rPr>
        <w:t>Крюк</w:t>
      </w:r>
      <w:r w:rsidR="009C0BF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Pr="002A6232">
        <w:rPr>
          <w:b/>
          <w:i/>
          <w:sz w:val="24"/>
          <w:szCs w:val="24"/>
        </w:rPr>
        <w:t>Шалинского городского округа</w:t>
      </w:r>
      <w:r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</w:t>
      </w:r>
      <w:r w:rsidR="00D72CDC" w:rsidRPr="004D7AB2">
        <w:rPr>
          <w:b/>
          <w:i/>
          <w:sz w:val="24"/>
          <w:szCs w:val="24"/>
        </w:rPr>
        <w:t xml:space="preserve">от </w:t>
      </w:r>
      <w:r w:rsidR="00D72CDC">
        <w:rPr>
          <w:b/>
          <w:i/>
          <w:sz w:val="24"/>
          <w:szCs w:val="24"/>
        </w:rPr>
        <w:t>31.01.</w:t>
      </w:r>
      <w:r w:rsidR="00D72CDC" w:rsidRPr="004D7AB2">
        <w:rPr>
          <w:b/>
          <w:i/>
          <w:sz w:val="24"/>
          <w:szCs w:val="24"/>
        </w:rPr>
        <w:t>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4D7AB2">
        <w:rPr>
          <w:b/>
          <w:i/>
          <w:color w:val="000000"/>
          <w:sz w:val="24"/>
          <w:szCs w:val="24"/>
        </w:rPr>
        <w:t>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</w:t>
      </w:r>
      <w:r w:rsidR="00B267FA">
        <w:rPr>
          <w:sz w:val="24"/>
          <w:szCs w:val="24"/>
        </w:rPr>
        <w:t>муниципального образования с.Крюк</w:t>
      </w:r>
      <w:r w:rsidR="000A7553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</w:t>
      </w:r>
      <w:r w:rsidR="00D72CDC" w:rsidRPr="00D72CDC">
        <w:rPr>
          <w:sz w:val="24"/>
          <w:szCs w:val="24"/>
        </w:rPr>
        <w:t xml:space="preserve"> 31.01. 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D72CDC">
        <w:rPr>
          <w:color w:val="000000"/>
          <w:sz w:val="24"/>
          <w:szCs w:val="24"/>
        </w:rPr>
        <w:t>»</w:t>
      </w:r>
      <w:r w:rsidR="000A7553">
        <w:rPr>
          <w:sz w:val="24"/>
          <w:szCs w:val="24"/>
        </w:rPr>
        <w:t>, следующие изменения:</w:t>
      </w:r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8C7C34" w:rsidRPr="00A51AE9" w:rsidRDefault="008C7C34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lastRenderedPageBreak/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A36AF7" w:rsidRPr="00A51AE9" w:rsidRDefault="00A36AF7" w:rsidP="00A36AF7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A36AF7" w:rsidRDefault="00A36AF7" w:rsidP="00A36AF7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A36AF7" w:rsidRPr="00D36356" w:rsidRDefault="00A36AF7" w:rsidP="00A36AF7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7F5024" w:rsidRPr="00A51AE9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5"/>
        <w:gridCol w:w="5000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>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651471" w:rsidRDefault="001B55E1" w:rsidP="00651471">
      <w:pPr>
        <w:pStyle w:val="4"/>
        <w:spacing w:before="0"/>
        <w:ind w:right="74"/>
        <w:rPr>
          <w:rFonts w:ascii="Times New Roman" w:hAnsi="Times New Roman"/>
          <w:bCs w:val="0"/>
          <w:caps/>
          <w:color w:val="auto"/>
          <w:sz w:val="24"/>
          <w:szCs w:val="24"/>
        </w:rPr>
      </w:pPr>
      <w:r w:rsidRPr="00651471">
        <w:rPr>
          <w:rFonts w:ascii="Times New Roman" w:hAnsi="Times New Roman"/>
          <w:color w:val="auto"/>
          <w:sz w:val="24"/>
          <w:szCs w:val="24"/>
        </w:rPr>
        <w:t>ОБЩЕСТВЕННО- ДЕЛОВЫЕ ЗОНЫ.</w:t>
      </w:r>
    </w:p>
    <w:p w:rsidR="001B55E1" w:rsidRPr="00651471" w:rsidRDefault="001B55E1" w:rsidP="00651471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О-1. Зона делового, общественного, обслуживающего и коммерческого назначения.</w:t>
      </w:r>
    </w:p>
    <w:p w:rsidR="00A36AF7" w:rsidRPr="00651471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дошкольное, начальное и среднее общее образование;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банковская и страховая деятельность;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обслуживание.</w:t>
      </w:r>
    </w:p>
    <w:p w:rsidR="00A36AF7" w:rsidRPr="00651471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 коммунальное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 земельные участки (территории) общего пользования.</w:t>
      </w:r>
    </w:p>
    <w:p w:rsidR="00191BC8" w:rsidRDefault="00191BC8" w:rsidP="001B55E1">
      <w:pPr>
        <w:tabs>
          <w:tab w:val="left" w:pos="540"/>
        </w:tabs>
        <w:ind w:right="72" w:firstLine="567"/>
        <w:rPr>
          <w:b/>
        </w:rPr>
      </w:pPr>
    </w:p>
    <w:p w:rsidR="00191BC8" w:rsidRDefault="00B267FA" w:rsidP="00191BC8">
      <w:pPr>
        <w:pStyle w:val="a6"/>
        <w:tabs>
          <w:tab w:val="left" w:pos="0"/>
        </w:tabs>
        <w:suppressAutoHyphens w:val="0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 расстояния между жилыми и общественными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1B55E1" w:rsidRPr="00191BC8" w:rsidRDefault="001B55E1" w:rsidP="001B55E1">
      <w:pPr>
        <w:pStyle w:val="4"/>
        <w:ind w:right="72" w:firstLine="567"/>
        <w:rPr>
          <w:rFonts w:ascii="Times New Roman" w:hAnsi="Times New Roman"/>
          <w:color w:val="auto"/>
          <w:sz w:val="24"/>
          <w:szCs w:val="24"/>
        </w:rPr>
      </w:pPr>
      <w:r w:rsidRPr="00191BC8">
        <w:rPr>
          <w:rFonts w:ascii="Times New Roman" w:hAnsi="Times New Roman"/>
          <w:color w:val="auto"/>
          <w:sz w:val="24"/>
          <w:szCs w:val="24"/>
        </w:rPr>
        <w:t>ПРОИЗВОДСТВЕННЫЕ ЗОНЫ.</w:t>
      </w:r>
    </w:p>
    <w:p w:rsidR="001B55E1" w:rsidRPr="00191BC8" w:rsidRDefault="001B55E1" w:rsidP="001B55E1">
      <w:pPr>
        <w:pStyle w:val="5"/>
        <w:ind w:right="72"/>
        <w:rPr>
          <w:b/>
          <w:color w:val="auto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П-1. Зона объектов промышленного, коммунального и складского назначения с различной степенью воздействия на окружающую среду</w:t>
      </w:r>
      <w:r w:rsidRPr="00191BC8">
        <w:rPr>
          <w:b/>
          <w:color w:val="auto"/>
        </w:rPr>
        <w:t>.</w:t>
      </w:r>
    </w:p>
    <w:p w:rsidR="00A36AF7" w:rsidRDefault="00A36AF7" w:rsidP="00A36AF7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Toc131897307"/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rPr>
          <w:sz w:val="24"/>
          <w:szCs w:val="24"/>
        </w:rPr>
      </w:pPr>
      <w:r w:rsidRPr="00191BC8">
        <w:rPr>
          <w:sz w:val="24"/>
          <w:szCs w:val="24"/>
        </w:rPr>
        <w:t xml:space="preserve">- </w:t>
      </w:r>
      <w:r>
        <w:rPr>
          <w:sz w:val="24"/>
          <w:szCs w:val="24"/>
        </w:rPr>
        <w:t>производственная деятельность;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BC8">
        <w:rPr>
          <w:sz w:val="24"/>
          <w:szCs w:val="24"/>
        </w:rPr>
        <w:t>тяжелая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легкая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транспорт;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недропользование.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обслуживание.</w:t>
      </w:r>
    </w:p>
    <w:p w:rsidR="00A36AF7" w:rsidRDefault="00A36AF7" w:rsidP="00A36AF7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0A04D8" w:rsidRDefault="000A04D8" w:rsidP="000A04D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сервиса.</w:t>
      </w:r>
    </w:p>
    <w:p w:rsidR="00B267FA" w:rsidRDefault="00B267FA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267FA" w:rsidRPr="00B267FA" w:rsidRDefault="00B267FA" w:rsidP="00B267FA">
      <w:pPr>
        <w:ind w:right="-5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Площадь участков, предназначенных для озеленения в пределах ограды предприятия, следует определять из расчета не менее </w:t>
      </w:r>
      <w:smartTag w:uri="urn:schemas-microsoft-com:office:smarttags" w:element="metricconverter">
        <w:smartTagPr>
          <w:attr w:name="ProductID" w:val="3 м2"/>
        </w:smartTagPr>
        <w:r w:rsidRPr="00B267FA">
          <w:rPr>
            <w:sz w:val="24"/>
            <w:szCs w:val="24"/>
          </w:rPr>
          <w:t>3 м</w:t>
        </w:r>
        <w:r w:rsidRPr="00B267FA">
          <w:rPr>
            <w:sz w:val="24"/>
            <w:szCs w:val="24"/>
            <w:vertAlign w:val="superscript"/>
          </w:rPr>
          <w:t>2</w:t>
        </w:r>
      </w:smartTag>
      <w:r w:rsidRPr="00B267FA">
        <w:rPr>
          <w:sz w:val="24"/>
          <w:szCs w:val="24"/>
        </w:rPr>
        <w:t xml:space="preserve"> на одного работающего в наиболее многочисленной смене. Предельный размер участков, предназначенных для озеленения, не должен превышать 15% площадки предприятия;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Производственные территории следует преобразовывать с учетом примыкания к территориям иного функционального назначения: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 В полосе примыкания производственных зон к общественным территориям следует размещать общественно-административные («предзаводские» по терминологии СНиП II-89-80*) части производственных территорий, включая их в формирование общественных центров и зон;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 В полосе примыкания к жилым территориям не следует оформлять границы производственного участка глухим забором, рекомендуется использование входящей в состав СЗЗ полосы примыкания для размещения коммунальных объектов жилого района, многоэтажных гаражей-стоянок различных типов, зеленых насаждений;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 Не менее 20% от объема наземной части производственной застройки в примагистральной полосе следует размещать в подземном уровне (аварийные службы водопровода, канализации, ремонтные участки и стоянки малогабаритных машин механической уборки территорий).</w:t>
      </w:r>
    </w:p>
    <w:p w:rsidR="00B267FA" w:rsidRPr="00B267FA" w:rsidRDefault="00B267FA" w:rsidP="00B267FA">
      <w:pPr>
        <w:pStyle w:val="nienie"/>
        <w:ind w:right="72"/>
        <w:rPr>
          <w:rFonts w:ascii="Times New Roman" w:hAnsi="Times New Roman"/>
          <w:szCs w:val="24"/>
        </w:rPr>
      </w:pPr>
    </w:p>
    <w:bookmarkEnd w:id="0"/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1B55E1" w:rsidRPr="00E44294" w:rsidRDefault="001B55E1" w:rsidP="00E4429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 w:rsidR="007949A9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A36AF7" w:rsidRPr="00E44294" w:rsidRDefault="00A36AF7" w:rsidP="00A36AF7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Pr="007949A9" w:rsidRDefault="00A36AF7" w:rsidP="00A36AF7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7949A9" w:rsidRDefault="00B267FA" w:rsidP="007949A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67FA" w:rsidRPr="00B267FA" w:rsidRDefault="00B267FA" w:rsidP="00B267FA">
      <w:pPr>
        <w:pStyle w:val="ConsNormal"/>
        <w:ind w:right="7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267FA">
        <w:rPr>
          <w:rFonts w:ascii="Times New Roman" w:hAnsi="Times New Roman" w:cs="Times New Roman"/>
          <w:sz w:val="24"/>
          <w:szCs w:val="24"/>
        </w:rPr>
        <w:t xml:space="preserve">                  Расстояния от зданий и сооружений до зеленых насаждений следует принимать в соответствии с Нормативами градостроительного проектирования Свердловской области при условии 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 xml:space="preserve">беспрепятственного подъезда и работы пожарного автотранспорта; </w:t>
      </w:r>
      <w:r w:rsidRPr="00B267FA">
        <w:rPr>
          <w:rFonts w:ascii="Times New Roman" w:hAnsi="Times New Roman" w:cs="Times New Roman"/>
          <w:sz w:val="24"/>
          <w:szCs w:val="24"/>
        </w:rPr>
        <w:t>от воздушных линий электропередачи – в соответствии с ПУЭ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267FA" w:rsidRPr="00B267FA" w:rsidRDefault="00B267FA" w:rsidP="00B267FA">
      <w:pPr>
        <w:pStyle w:val="ConsNormal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569"/>
        <w:gridCol w:w="1712"/>
      </w:tblGrid>
      <w:tr w:rsidR="00B267FA" w:rsidRPr="00B267FA" w:rsidTr="00980B3B">
        <w:trPr>
          <w:trHeight w:val="508"/>
        </w:trPr>
        <w:tc>
          <w:tcPr>
            <w:tcW w:w="6804" w:type="dxa"/>
            <w:vMerge w:val="restart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Здание, сооружение</w:t>
            </w:r>
          </w:p>
        </w:tc>
        <w:tc>
          <w:tcPr>
            <w:tcW w:w="3281" w:type="dxa"/>
            <w:gridSpan w:val="2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Расстояния, м, от здания, сооружения, объекта до оси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vMerge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ствола дерева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кустарника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Наружная стена здания и сооружения 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5,0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36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4,0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bottom w:val="single" w:sz="4" w:space="0" w:color="auto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3,0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365"/>
        </w:trPr>
        <w:tc>
          <w:tcPr>
            <w:tcW w:w="6804" w:type="dxa"/>
            <w:tcBorders>
              <w:bottom w:val="nil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Подземные сети: </w:t>
            </w:r>
          </w:p>
          <w:p w:rsidR="00B267FA" w:rsidRPr="00B267FA" w:rsidRDefault="00B267FA" w:rsidP="00980B3B">
            <w:pPr>
              <w:widowControl w:val="0"/>
              <w:ind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газопровод, канализация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  <w:tc>
          <w:tcPr>
            <w:tcW w:w="1712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567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водопровод, дренаж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312"/>
        </w:trPr>
        <w:tc>
          <w:tcPr>
            <w:tcW w:w="6804" w:type="dxa"/>
            <w:tcBorders>
              <w:top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1569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</w:tr>
    </w:tbl>
    <w:p w:rsidR="00B267FA" w:rsidRPr="00B267FA" w:rsidRDefault="00B267FA" w:rsidP="00B267FA">
      <w:pPr>
        <w:widowControl w:val="0"/>
        <w:ind w:right="72" w:firstLine="567"/>
        <w:jc w:val="both"/>
        <w:rPr>
          <w:spacing w:val="40"/>
          <w:sz w:val="24"/>
          <w:szCs w:val="24"/>
        </w:rPr>
      </w:pPr>
      <w:r w:rsidRPr="00B267FA">
        <w:rPr>
          <w:spacing w:val="40"/>
          <w:sz w:val="24"/>
          <w:szCs w:val="24"/>
        </w:rPr>
        <w:t>Примечания: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B267FA">
          <w:rPr>
            <w:sz w:val="24"/>
            <w:szCs w:val="24"/>
          </w:rPr>
          <w:t>5 м</w:t>
        </w:r>
      </w:smartTag>
      <w:r w:rsidRPr="00B267FA">
        <w:rPr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2.Деревья, высаживаемые у зданий, не должны препятствовать инсоляции и освещенности жилых и общественных помещений.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9860D1" w:rsidRPr="00D14C5D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9860D1" w:rsidRPr="00335566" w:rsidRDefault="009860D1" w:rsidP="009860D1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9860D1" w:rsidRDefault="009860D1" w:rsidP="009860D1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9860D1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9860D1" w:rsidRPr="00114B2F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9860D1" w:rsidRPr="00335566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</w:p>
    <w:p w:rsidR="009860D1" w:rsidRDefault="009860D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5B5D76" w:rsidRPr="00335566" w:rsidRDefault="005B5D76" w:rsidP="005B5D76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СХ-2 Зона агропромышленных предприятий.</w:t>
      </w:r>
    </w:p>
    <w:p w:rsidR="009860D1" w:rsidRPr="00335566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сельскохозяйственное использование;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животноводство;</w:t>
      </w:r>
    </w:p>
    <w:p w:rsidR="009860D1" w:rsidRPr="00114B2F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хранение и переработка сельскохозяйственной продукции.</w:t>
      </w:r>
    </w:p>
    <w:p w:rsidR="009860D1" w:rsidRPr="00335566" w:rsidRDefault="009860D1" w:rsidP="009860D1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ветеринарное обслуживание;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коммунальное обслуживание.</w:t>
      </w:r>
    </w:p>
    <w:p w:rsidR="00B267FA" w:rsidRPr="00114B2F" w:rsidRDefault="00B267FA" w:rsidP="00B267FA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</w:t>
      </w:r>
      <w:r>
        <w:rPr>
          <w:sz w:val="24"/>
          <w:szCs w:val="24"/>
        </w:rPr>
        <w:t>2</w:t>
      </w:r>
      <w:r w:rsidRPr="00114B2F">
        <w:rPr>
          <w:sz w:val="24"/>
          <w:szCs w:val="24"/>
        </w:rPr>
        <w:t xml:space="preserve"> устанавливаются в соответствии с утвержденной документацией по планировке территории.</w:t>
      </w:r>
    </w:p>
    <w:p w:rsidR="001B55E1" w:rsidRPr="00114B2F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b/>
          <w:sz w:val="24"/>
          <w:szCs w:val="24"/>
        </w:rPr>
      </w:pPr>
    </w:p>
    <w:p w:rsidR="001B55E1" w:rsidRPr="00ED7E30" w:rsidRDefault="001B55E1" w:rsidP="00ED7E30">
      <w:pPr>
        <w:pStyle w:val="4"/>
        <w:spacing w:before="0"/>
        <w:ind w:right="-851"/>
        <w:rPr>
          <w:rFonts w:ascii="Times New Roman" w:hAnsi="Times New Roman"/>
          <w:color w:val="auto"/>
          <w:sz w:val="24"/>
          <w:szCs w:val="24"/>
        </w:rPr>
      </w:pPr>
      <w:r w:rsidRPr="00ED7E30">
        <w:rPr>
          <w:rFonts w:ascii="Times New Roman" w:hAnsi="Times New Roman"/>
          <w:color w:val="auto"/>
          <w:sz w:val="24"/>
          <w:szCs w:val="24"/>
        </w:rPr>
        <w:t xml:space="preserve">ЗОНЫ СПЕЦИАЛЬНОГО НАЗНАЧЕНИЯ. </w:t>
      </w:r>
    </w:p>
    <w:p w:rsidR="001B55E1" w:rsidRPr="00ED7E30" w:rsidRDefault="001B55E1" w:rsidP="00ED7E30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СН-1. Зона кладбищ.</w:t>
      </w:r>
    </w:p>
    <w:p w:rsidR="001B55E1" w:rsidRPr="00ED7E30" w:rsidRDefault="001B55E1" w:rsidP="00ED7E30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9A3BC5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1B55E1" w:rsidRPr="00ED7E30" w:rsidRDefault="001B55E1" w:rsidP="00ED7E30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515D17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</w:p>
    <w:p w:rsidR="00515D17" w:rsidRDefault="00515D17" w:rsidP="00515D17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</w:t>
      </w:r>
    </w:p>
    <w:p w:rsidR="00B267FA" w:rsidRDefault="00515D17" w:rsidP="00515D17">
      <w:pPr>
        <w:rPr>
          <w:sz w:val="24"/>
          <w:szCs w:val="24"/>
        </w:rPr>
      </w:pPr>
      <w:r w:rsidRPr="00D9565F">
        <w:rPr>
          <w:sz w:val="24"/>
          <w:szCs w:val="24"/>
        </w:rPr>
        <w:t>- магазины.</w:t>
      </w:r>
    </w:p>
    <w:p w:rsidR="00B267FA" w:rsidRDefault="00B267FA" w:rsidP="00515D17">
      <w:pPr>
        <w:rPr>
          <w:sz w:val="24"/>
          <w:szCs w:val="24"/>
        </w:rPr>
      </w:pPr>
    </w:p>
    <w:p w:rsidR="00B267FA" w:rsidRPr="00B267FA" w:rsidRDefault="00B267FA" w:rsidP="00B267FA">
      <w:pPr>
        <w:jc w:val="both"/>
        <w:rPr>
          <w:sz w:val="24"/>
          <w:szCs w:val="24"/>
        </w:rPr>
      </w:pPr>
      <w:r w:rsidRPr="00B267FA">
        <w:rPr>
          <w:sz w:val="24"/>
          <w:szCs w:val="24"/>
        </w:rPr>
        <w:t>При отсутствии необходимых гидрогеологических условий рекомендуется проводить инженерную подготовку территории будущего кладбища, включающую осушение территорий, устройство дренажей, засыпку на поверхность мелкозернистых сухих грунтов;</w:t>
      </w:r>
    </w:p>
    <w:p w:rsidR="00B267FA" w:rsidRPr="00B267FA" w:rsidRDefault="00B267FA" w:rsidP="00B267FA">
      <w:pPr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Для всех типов кладбищ площадь мест захоронения должна составлять не менее 65-75% от общей площади кладбища, а площадь зеленых насаждений - не менее 25%;</w:t>
      </w:r>
    </w:p>
    <w:p w:rsidR="00B267FA" w:rsidRPr="00B267FA" w:rsidRDefault="00B267FA" w:rsidP="00B267FA">
      <w:pPr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Территорию кладбища независимо от способа захоронения следует подразделять на функциональные зоны: входную, ритуальную, административно-хозяйственную, захоронений, моральной (зеленой) защиты по периметру кладбища;</w:t>
      </w:r>
    </w:p>
    <w:p w:rsidR="001B55E1" w:rsidRPr="00B267FA" w:rsidRDefault="00B267FA" w:rsidP="00B267FA">
      <w:pPr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Размеры участков кладбищ должны быть не менее </w:t>
      </w:r>
      <w:smartTag w:uri="urn:schemas-microsoft-com:office:smarttags" w:element="metricconverter">
        <w:smartTagPr>
          <w:attr w:name="ProductID" w:val="0,5 га"/>
        </w:smartTagPr>
        <w:r w:rsidRPr="00B267FA">
          <w:rPr>
            <w:sz w:val="24"/>
            <w:szCs w:val="24"/>
          </w:rPr>
          <w:t>0,5 га</w:t>
        </w:r>
      </w:smartTag>
      <w:r w:rsidRPr="00B267FA">
        <w:rPr>
          <w:sz w:val="24"/>
          <w:szCs w:val="24"/>
        </w:rPr>
        <w:t xml:space="preserve"> и не более </w:t>
      </w:r>
      <w:smartTag w:uri="urn:schemas-microsoft-com:office:smarttags" w:element="metricconverter">
        <w:smartTagPr>
          <w:attr w:name="ProductID" w:val="40 га"/>
        </w:smartTagPr>
        <w:r w:rsidRPr="00B267FA">
          <w:rPr>
            <w:sz w:val="24"/>
            <w:szCs w:val="24"/>
          </w:rPr>
          <w:t>40 га</w:t>
        </w:r>
      </w:smartTag>
      <w:r w:rsidRPr="00B267FA">
        <w:rPr>
          <w:sz w:val="24"/>
          <w:szCs w:val="24"/>
        </w:rPr>
        <w:t>.</w:t>
      </w:r>
      <w:r w:rsidR="00965751" w:rsidRPr="00B267FA">
        <w:rPr>
          <w:sz w:val="24"/>
          <w:szCs w:val="24"/>
        </w:rPr>
        <w:t>».</w:t>
      </w:r>
    </w:p>
    <w:p w:rsidR="00515D17" w:rsidRDefault="001B55E1" w:rsidP="00720C7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</w:t>
      </w:r>
      <w:r w:rsidR="00C066BA">
        <w:rPr>
          <w:sz w:val="24"/>
          <w:szCs w:val="24"/>
        </w:rPr>
        <w:t xml:space="preserve">                 </w:t>
      </w:r>
      <w:r w:rsidRPr="00720C70">
        <w:rPr>
          <w:sz w:val="24"/>
          <w:szCs w:val="24"/>
        </w:rPr>
        <w:t xml:space="preserve">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C066BA">
      <w:footerReference w:type="default" r:id="rId9"/>
      <w:footnotePr>
        <w:pos w:val="beneathText"/>
      </w:footnotePr>
      <w:pgSz w:w="12240" w:h="15840"/>
      <w:pgMar w:top="851" w:right="75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3A1" w:rsidRDefault="001873A1">
      <w:r>
        <w:separator/>
      </w:r>
    </w:p>
  </w:endnote>
  <w:endnote w:type="continuationSeparator" w:id="1">
    <w:p w:rsidR="001873A1" w:rsidRDefault="00187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76" w:rsidRDefault="00781DAA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5B5D76" w:rsidRDefault="005B5D76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3A1" w:rsidRDefault="001873A1">
      <w:r>
        <w:separator/>
      </w:r>
    </w:p>
  </w:footnote>
  <w:footnote w:type="continuationSeparator" w:id="1">
    <w:p w:rsidR="001873A1" w:rsidRDefault="001873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82946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04D8"/>
    <w:rsid w:val="000A7553"/>
    <w:rsid w:val="000A76D6"/>
    <w:rsid w:val="000B43D0"/>
    <w:rsid w:val="000B609C"/>
    <w:rsid w:val="000B7339"/>
    <w:rsid w:val="000E3ACA"/>
    <w:rsid w:val="000E6A41"/>
    <w:rsid w:val="00102E03"/>
    <w:rsid w:val="00106AF8"/>
    <w:rsid w:val="00110841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873A1"/>
    <w:rsid w:val="00191BC8"/>
    <w:rsid w:val="0019564B"/>
    <w:rsid w:val="001A04AB"/>
    <w:rsid w:val="001B55E1"/>
    <w:rsid w:val="001D2337"/>
    <w:rsid w:val="001D7FC1"/>
    <w:rsid w:val="001E35F5"/>
    <w:rsid w:val="001E61EA"/>
    <w:rsid w:val="00206126"/>
    <w:rsid w:val="002148C6"/>
    <w:rsid w:val="00220FAD"/>
    <w:rsid w:val="00222448"/>
    <w:rsid w:val="00225ABB"/>
    <w:rsid w:val="002336A1"/>
    <w:rsid w:val="002415F6"/>
    <w:rsid w:val="002543DB"/>
    <w:rsid w:val="00287B15"/>
    <w:rsid w:val="002A6232"/>
    <w:rsid w:val="002B1D5A"/>
    <w:rsid w:val="002C1A27"/>
    <w:rsid w:val="002C5E9E"/>
    <w:rsid w:val="002D02CF"/>
    <w:rsid w:val="002D23BD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57F4B"/>
    <w:rsid w:val="00383C7F"/>
    <w:rsid w:val="003B3BA1"/>
    <w:rsid w:val="003C3654"/>
    <w:rsid w:val="003D167C"/>
    <w:rsid w:val="003D3A43"/>
    <w:rsid w:val="003D554E"/>
    <w:rsid w:val="003E712C"/>
    <w:rsid w:val="003F0E7E"/>
    <w:rsid w:val="003F428C"/>
    <w:rsid w:val="00410D5F"/>
    <w:rsid w:val="00413479"/>
    <w:rsid w:val="00426D96"/>
    <w:rsid w:val="00427E2B"/>
    <w:rsid w:val="004618F6"/>
    <w:rsid w:val="004723B3"/>
    <w:rsid w:val="00486B32"/>
    <w:rsid w:val="00493DCC"/>
    <w:rsid w:val="004C0268"/>
    <w:rsid w:val="004C15C7"/>
    <w:rsid w:val="00515D17"/>
    <w:rsid w:val="00534374"/>
    <w:rsid w:val="0054044E"/>
    <w:rsid w:val="00553437"/>
    <w:rsid w:val="00567975"/>
    <w:rsid w:val="005752E9"/>
    <w:rsid w:val="00577C40"/>
    <w:rsid w:val="005A17C7"/>
    <w:rsid w:val="005A323B"/>
    <w:rsid w:val="005B5D76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3816"/>
    <w:rsid w:val="0065459F"/>
    <w:rsid w:val="00673553"/>
    <w:rsid w:val="006740C6"/>
    <w:rsid w:val="00694A10"/>
    <w:rsid w:val="006964EC"/>
    <w:rsid w:val="006C5308"/>
    <w:rsid w:val="006D252A"/>
    <w:rsid w:val="006E60D3"/>
    <w:rsid w:val="00701033"/>
    <w:rsid w:val="00720C70"/>
    <w:rsid w:val="00721C38"/>
    <w:rsid w:val="007317B2"/>
    <w:rsid w:val="00736A7F"/>
    <w:rsid w:val="00740D30"/>
    <w:rsid w:val="00745854"/>
    <w:rsid w:val="00762E66"/>
    <w:rsid w:val="00781DAA"/>
    <w:rsid w:val="007949A9"/>
    <w:rsid w:val="007A41F2"/>
    <w:rsid w:val="007C537F"/>
    <w:rsid w:val="007D55D3"/>
    <w:rsid w:val="007E7BA6"/>
    <w:rsid w:val="007F5024"/>
    <w:rsid w:val="008062D8"/>
    <w:rsid w:val="00821DE8"/>
    <w:rsid w:val="00824B37"/>
    <w:rsid w:val="00852DD4"/>
    <w:rsid w:val="00853F73"/>
    <w:rsid w:val="00880140"/>
    <w:rsid w:val="008873C8"/>
    <w:rsid w:val="00892C40"/>
    <w:rsid w:val="00897601"/>
    <w:rsid w:val="008C7C34"/>
    <w:rsid w:val="008D4D40"/>
    <w:rsid w:val="008E0155"/>
    <w:rsid w:val="008E3F1D"/>
    <w:rsid w:val="008F2219"/>
    <w:rsid w:val="008F32FF"/>
    <w:rsid w:val="0090291B"/>
    <w:rsid w:val="00917DE4"/>
    <w:rsid w:val="00930734"/>
    <w:rsid w:val="009406B1"/>
    <w:rsid w:val="009429E2"/>
    <w:rsid w:val="00957462"/>
    <w:rsid w:val="00965751"/>
    <w:rsid w:val="00981DF9"/>
    <w:rsid w:val="00983069"/>
    <w:rsid w:val="009860D1"/>
    <w:rsid w:val="0098708F"/>
    <w:rsid w:val="00993188"/>
    <w:rsid w:val="009B6CA1"/>
    <w:rsid w:val="009C0BF4"/>
    <w:rsid w:val="009D04DA"/>
    <w:rsid w:val="009D2678"/>
    <w:rsid w:val="009F1737"/>
    <w:rsid w:val="009F2C2C"/>
    <w:rsid w:val="00A135B6"/>
    <w:rsid w:val="00A3042F"/>
    <w:rsid w:val="00A34DB8"/>
    <w:rsid w:val="00A35765"/>
    <w:rsid w:val="00A36AF7"/>
    <w:rsid w:val="00A4137D"/>
    <w:rsid w:val="00A43420"/>
    <w:rsid w:val="00A45766"/>
    <w:rsid w:val="00A46732"/>
    <w:rsid w:val="00A51AE9"/>
    <w:rsid w:val="00A545F2"/>
    <w:rsid w:val="00A56970"/>
    <w:rsid w:val="00A67647"/>
    <w:rsid w:val="00A746FF"/>
    <w:rsid w:val="00A97F21"/>
    <w:rsid w:val="00AA7CE6"/>
    <w:rsid w:val="00AB7968"/>
    <w:rsid w:val="00AE20B1"/>
    <w:rsid w:val="00AE4A70"/>
    <w:rsid w:val="00AF1782"/>
    <w:rsid w:val="00AF43D6"/>
    <w:rsid w:val="00B025B7"/>
    <w:rsid w:val="00B10685"/>
    <w:rsid w:val="00B21711"/>
    <w:rsid w:val="00B22EA2"/>
    <w:rsid w:val="00B267FA"/>
    <w:rsid w:val="00B36D95"/>
    <w:rsid w:val="00B41D70"/>
    <w:rsid w:val="00B4741C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D665F"/>
    <w:rsid w:val="00BD7F11"/>
    <w:rsid w:val="00C066BA"/>
    <w:rsid w:val="00C134B4"/>
    <w:rsid w:val="00C226ED"/>
    <w:rsid w:val="00C31FD2"/>
    <w:rsid w:val="00C46476"/>
    <w:rsid w:val="00C511FF"/>
    <w:rsid w:val="00C54CC6"/>
    <w:rsid w:val="00C7303C"/>
    <w:rsid w:val="00C97111"/>
    <w:rsid w:val="00CA3208"/>
    <w:rsid w:val="00CA7D0C"/>
    <w:rsid w:val="00CC411F"/>
    <w:rsid w:val="00CC7125"/>
    <w:rsid w:val="00CD0EE0"/>
    <w:rsid w:val="00CF02A3"/>
    <w:rsid w:val="00CF1DAF"/>
    <w:rsid w:val="00D07A79"/>
    <w:rsid w:val="00D14C5D"/>
    <w:rsid w:val="00D25E0E"/>
    <w:rsid w:val="00D36356"/>
    <w:rsid w:val="00D40A01"/>
    <w:rsid w:val="00D52A45"/>
    <w:rsid w:val="00D72CDC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B1182"/>
    <w:rsid w:val="00EC7749"/>
    <w:rsid w:val="00ED2150"/>
    <w:rsid w:val="00ED7E30"/>
    <w:rsid w:val="00F05B38"/>
    <w:rsid w:val="00F05BD9"/>
    <w:rsid w:val="00F162A3"/>
    <w:rsid w:val="00F314A3"/>
    <w:rsid w:val="00F34835"/>
    <w:rsid w:val="00F46668"/>
    <w:rsid w:val="00F6764D"/>
    <w:rsid w:val="00F76AEA"/>
    <w:rsid w:val="00F843DE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294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paragraph" w:customStyle="1" w:styleId="14">
    <w:name w:val="Знак1"/>
    <w:basedOn w:val="a"/>
    <w:rsid w:val="00B267FA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Normal">
    <w:name w:val="ConsNormal"/>
    <w:rsid w:val="00B267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FFB1-2AFD-4BDF-AA04-5DE545D6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2554</Words>
  <Characters>14558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ПРОЕКТ РЕШЕНИЯ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9</cp:revision>
  <cp:lastPrinted>2015-12-01T07:11:00Z</cp:lastPrinted>
  <dcterms:created xsi:type="dcterms:W3CDTF">2015-11-02T07:49:00Z</dcterms:created>
  <dcterms:modified xsi:type="dcterms:W3CDTF">2015-12-01T07:11:00Z</dcterms:modified>
</cp:coreProperties>
</file>