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FB5DC8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B051A" w:rsidRDefault="00EB051A" w:rsidP="000B43D0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51DF3" w:rsidRPr="00720C70">
        <w:rPr>
          <w:sz w:val="24"/>
          <w:szCs w:val="24"/>
        </w:rPr>
        <w:t xml:space="preserve"> </w:t>
      </w:r>
      <w:r w:rsidR="00C65562">
        <w:rPr>
          <w:sz w:val="24"/>
          <w:szCs w:val="24"/>
        </w:rPr>
        <w:t>30</w:t>
      </w:r>
      <w:r w:rsidR="002A6232">
        <w:rPr>
          <w:sz w:val="24"/>
          <w:szCs w:val="24"/>
        </w:rPr>
        <w:t xml:space="preserve"> </w:t>
      </w:r>
      <w:r w:rsidR="00C65562">
        <w:rPr>
          <w:sz w:val="24"/>
          <w:szCs w:val="24"/>
        </w:rPr>
        <w:t>но</w:t>
      </w:r>
      <w:r w:rsidR="002A6232">
        <w:rPr>
          <w:sz w:val="24"/>
          <w:szCs w:val="24"/>
        </w:rPr>
        <w:t xml:space="preserve">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345</w:t>
      </w:r>
      <w:r w:rsidR="002A6232">
        <w:rPr>
          <w:sz w:val="24"/>
          <w:szCs w:val="24"/>
        </w:rPr>
        <w:t xml:space="preserve">            </w:t>
      </w:r>
      <w:r w:rsidR="00720C70" w:rsidRPr="00720C70">
        <w:rPr>
          <w:sz w:val="24"/>
          <w:szCs w:val="24"/>
        </w:rPr>
        <w:t xml:space="preserve">  </w:t>
      </w:r>
    </w:p>
    <w:p w:rsidR="00EB051A" w:rsidRDefault="00EB051A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EC4B51" w:rsidRDefault="002A6232" w:rsidP="001B55E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</w:p>
    <w:p w:rsidR="008B2BB6" w:rsidRDefault="002A6232" w:rsidP="001B55E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>Шалинского городского округа</w:t>
      </w:r>
      <w:r w:rsidR="001B55E1">
        <w:rPr>
          <w:b/>
          <w:i/>
          <w:sz w:val="24"/>
          <w:szCs w:val="24"/>
        </w:rPr>
        <w:t xml:space="preserve">, </w:t>
      </w:r>
      <w:r w:rsidR="00EC4B51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>утвержденные решением Думы Шалинского городского округа</w:t>
      </w:r>
      <w:r w:rsidR="00EC4B51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 xml:space="preserve"> от 27.12.2012 года</w:t>
      </w:r>
      <w:r w:rsidRPr="002A6232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 xml:space="preserve">№ </w:t>
      </w:r>
      <w:r w:rsidR="001B55E1" w:rsidRPr="00EC4B51">
        <w:rPr>
          <w:b/>
          <w:i/>
          <w:sz w:val="24"/>
          <w:szCs w:val="24"/>
        </w:rPr>
        <w:t>9</w:t>
      </w:r>
      <w:r w:rsidR="00C5148E">
        <w:rPr>
          <w:b/>
          <w:i/>
          <w:sz w:val="24"/>
          <w:szCs w:val="24"/>
        </w:rPr>
        <w:t>8</w:t>
      </w:r>
    </w:p>
    <w:p w:rsidR="001B55E1" w:rsidRPr="001B55E1" w:rsidRDefault="00EC4B51" w:rsidP="001B55E1">
      <w:pPr>
        <w:jc w:val="center"/>
        <w:rPr>
          <w:szCs w:val="28"/>
        </w:rPr>
      </w:pPr>
      <w:r w:rsidRPr="00EC4B51">
        <w:rPr>
          <w:b/>
          <w:i/>
          <w:sz w:val="24"/>
          <w:szCs w:val="24"/>
        </w:rPr>
        <w:t xml:space="preserve"> </w:t>
      </w: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C215D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215DA">
        <w:rPr>
          <w:b/>
          <w:sz w:val="24"/>
          <w:szCs w:val="24"/>
        </w:rPr>
        <w:t>РЕШИЛА:</w:t>
      </w:r>
    </w:p>
    <w:p w:rsidR="00720C70" w:rsidRDefault="00720C70" w:rsidP="00EC4B5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C4B51" w:rsidRPr="00EC4B51">
        <w:rPr>
          <w:sz w:val="24"/>
          <w:szCs w:val="24"/>
        </w:rPr>
        <w:t>Правила землепользования и застройки Шалинского городского округа, утвержденные решением Думы Шалинского городского округа  от 27.12.2012 года № 9</w:t>
      </w:r>
      <w:r w:rsidR="00C5148E">
        <w:rPr>
          <w:sz w:val="24"/>
          <w:szCs w:val="24"/>
        </w:rPr>
        <w:t>8</w:t>
      </w:r>
      <w:r w:rsidR="002A6232">
        <w:rPr>
          <w:sz w:val="24"/>
          <w:szCs w:val="24"/>
        </w:rPr>
        <w:t>, следующие изменения:</w:t>
      </w:r>
    </w:p>
    <w:p w:rsidR="00E84CFE" w:rsidRPr="001B55E1" w:rsidRDefault="009B6CA1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C4B5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EB7FAE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C215DA" w:rsidRPr="00A51AE9" w:rsidRDefault="00C215DA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Настоящими Правилами землепользования и застройки </w:t>
      </w:r>
      <w:r w:rsidRPr="00A51AE9">
        <w:rPr>
          <w:b/>
          <w:sz w:val="24"/>
          <w:szCs w:val="24"/>
        </w:rPr>
        <w:t>устанавливаются градостроительные регламенты</w:t>
      </w:r>
      <w:r w:rsidRPr="00A51AE9">
        <w:rPr>
          <w:sz w:val="24"/>
          <w:szCs w:val="24"/>
        </w:rPr>
        <w:t xml:space="preserve"> для следующих категорий земель Шалинского городского округа: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населенных пунктов;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назначения;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запаса.</w:t>
      </w: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6590D" w:rsidRPr="00A51AE9" w:rsidRDefault="00A6590D" w:rsidP="00A6590D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6590D" w:rsidRDefault="00A6590D" w:rsidP="00A6590D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6590D" w:rsidRDefault="00A6590D" w:rsidP="00A6590D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6590D" w:rsidRDefault="00A6590D" w:rsidP="00A6590D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6590D" w:rsidRDefault="00A6590D" w:rsidP="00A6590D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6590D" w:rsidRPr="00D36356" w:rsidRDefault="00A6590D" w:rsidP="00A6590D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B55E1" w:rsidRPr="00A51AE9" w:rsidRDefault="001B55E1" w:rsidP="00A51AE9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 w:rsidR="00062194"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062194"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 w:rsidR="0006219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C215DA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C215DA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C215DA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C215DA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C215DA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га/дом (квартира), при застройке: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51AE9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822"/>
      </w:tblGrid>
      <w:tr w:rsidR="001B55E1" w:rsidRPr="00A51AE9" w:rsidTr="00C215DA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B55E1" w:rsidRPr="00A51AE9" w:rsidRDefault="001B55E1" w:rsidP="00A51AE9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BC165E">
        <w:rPr>
          <w:b/>
          <w:bCs/>
          <w:sz w:val="24"/>
          <w:szCs w:val="24"/>
        </w:rPr>
        <w:t xml:space="preserve"> (в редакции от 30.01.2014 года № 197)</w:t>
      </w:r>
      <w:r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BC165E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6590D" w:rsidRPr="007F5024" w:rsidRDefault="00A6590D" w:rsidP="00A6590D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застройка;</w:t>
      </w:r>
    </w:p>
    <w:p w:rsidR="00A6590D" w:rsidRDefault="00A6590D" w:rsidP="00A6590D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</w:p>
    <w:p w:rsidR="00A6590D" w:rsidRDefault="00A6590D" w:rsidP="00A6590D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6590D" w:rsidRDefault="00A6590D" w:rsidP="00A6590D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A6590D" w:rsidRPr="006C5308" w:rsidRDefault="00A6590D" w:rsidP="00A6590D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6590D" w:rsidRDefault="00A6590D" w:rsidP="00A6590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6590D" w:rsidRPr="000E3ACA" w:rsidRDefault="00A6590D" w:rsidP="00A6590D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BC165E" w:rsidRPr="00A51AE9" w:rsidRDefault="00BC165E" w:rsidP="00BC165E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>
        <w:rPr>
          <w:b/>
          <w:bCs/>
          <w:sz w:val="24"/>
          <w:szCs w:val="24"/>
        </w:rPr>
        <w:t>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BC165E" w:rsidRDefault="00BC165E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C215DA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C215DA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C215DA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3642"/>
        <w:gridCol w:w="1748"/>
        <w:gridCol w:w="3257"/>
      </w:tblGrid>
      <w:tr w:rsidR="001B55E1" w:rsidRPr="00962381" w:rsidTr="00C215DA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C215DA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C215DA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C215DA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C215DA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C215DA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C215DA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C215DA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C215DA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C215DA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C215DA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C215DA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C215DA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C215DA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C215DA">
        <w:tc>
          <w:tcPr>
            <w:tcW w:w="1694" w:type="dxa"/>
            <w:vMerge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C215DA"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C215DA"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C215DA">
        <w:trPr>
          <w:trHeight w:val="567"/>
        </w:trPr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C215DA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C215DA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C215DA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C215DA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C215DA">
            <w:pPr>
              <w:rPr>
                <w:color w:val="000000"/>
              </w:rPr>
            </w:pPr>
          </w:p>
          <w:p w:rsidR="001B55E1" w:rsidRPr="00962381" w:rsidRDefault="001B55E1" w:rsidP="00C215DA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C215DA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C215DA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C215DA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C215DA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C215DA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C215DA">
        <w:trPr>
          <w:trHeight w:val="276"/>
        </w:trPr>
        <w:tc>
          <w:tcPr>
            <w:tcW w:w="1487" w:type="dxa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C215DA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C215DA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C215DA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6333CB" w:rsidRPr="00651471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6333CB" w:rsidRPr="00651471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6333CB" w:rsidRDefault="006333CB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6333CB" w:rsidRPr="00191BC8" w:rsidRDefault="006333CB" w:rsidP="006333C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6333CB" w:rsidRPr="00191BC8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6333CB" w:rsidRPr="00191BC8" w:rsidRDefault="006333CB" w:rsidP="006333C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6333CB" w:rsidRPr="00191BC8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C04391" w:rsidRDefault="00C04391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191BC8" w:rsidRDefault="001B55E1" w:rsidP="00CF3896">
      <w:pPr>
        <w:pStyle w:val="4"/>
        <w:spacing w:before="0"/>
        <w:ind w:right="74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CF3896">
      <w:pPr>
        <w:pStyle w:val="5"/>
        <w:spacing w:before="0"/>
        <w:ind w:right="74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6333CB" w:rsidRDefault="006333CB" w:rsidP="006333CB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333CB" w:rsidRDefault="006333CB" w:rsidP="006333CB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6333CB" w:rsidRDefault="006333CB" w:rsidP="006333CB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6333CB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6333CB" w:rsidRDefault="006333CB" w:rsidP="006333CB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F154C" w:rsidRDefault="00DF154C" w:rsidP="00DF154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6333CB" w:rsidRPr="000B609C" w:rsidRDefault="006333CB" w:rsidP="006333CB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6333CB" w:rsidRDefault="006333CB" w:rsidP="006333CB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6333CB" w:rsidRDefault="006333CB" w:rsidP="006333CB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3CB" w:rsidRPr="000B609C" w:rsidRDefault="006333CB" w:rsidP="006333C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6333CB" w:rsidRPr="000B609C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6333CB" w:rsidRDefault="006333CB" w:rsidP="006333CB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транспорт;</w:t>
      </w:r>
    </w:p>
    <w:p w:rsidR="00C06D49" w:rsidRDefault="00C06D49" w:rsidP="006333CB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6333CB" w:rsidRPr="000B609C" w:rsidRDefault="006333CB" w:rsidP="006333CB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09C">
        <w:rPr>
          <w:rFonts w:ascii="Times New Roman" w:hAnsi="Times New Roman" w:cs="Times New Roman"/>
          <w:sz w:val="24"/>
          <w:szCs w:val="24"/>
        </w:rPr>
        <w:t>коммунальное обслуживание.</w:t>
      </w:r>
    </w:p>
    <w:p w:rsidR="006333CB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6333CB" w:rsidRPr="00E44294" w:rsidRDefault="006333CB" w:rsidP="006333C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6333CB" w:rsidRPr="00E44294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333CB" w:rsidRDefault="006333CB" w:rsidP="006333CB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железнодорожный транспорт.</w:t>
      </w:r>
    </w:p>
    <w:p w:rsidR="006333CB" w:rsidRPr="00E44294" w:rsidRDefault="006333CB" w:rsidP="006333C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ИТ-4. Зона придорожных полос автомобильных дорог.</w:t>
      </w:r>
    </w:p>
    <w:p w:rsidR="006333CB" w:rsidRPr="00E44294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333CB" w:rsidRDefault="006333CB" w:rsidP="006333CB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автомобильный транспорт.</w:t>
      </w:r>
    </w:p>
    <w:p w:rsidR="006333CB" w:rsidRDefault="006333CB" w:rsidP="006333C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6333CB" w:rsidRDefault="006333CB" w:rsidP="006333CB">
      <w:pPr>
        <w:rPr>
          <w:sz w:val="24"/>
          <w:szCs w:val="24"/>
        </w:rPr>
      </w:pPr>
      <w:r w:rsidRPr="00E44294">
        <w:rPr>
          <w:sz w:val="24"/>
          <w:szCs w:val="24"/>
        </w:rPr>
        <w:t>- коммунальное обслуживание;</w:t>
      </w:r>
    </w:p>
    <w:p w:rsidR="006333CB" w:rsidRPr="00E44294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сервиса;</w:t>
      </w:r>
    </w:p>
    <w:p w:rsidR="006333CB" w:rsidRDefault="006333CB" w:rsidP="006333CB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обслуживание автотранспорта.</w:t>
      </w:r>
    </w:p>
    <w:p w:rsidR="006333CB" w:rsidRDefault="006333CB" w:rsidP="006333CB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333CB" w:rsidRDefault="006333CB" w:rsidP="006333C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6333CB" w:rsidRDefault="006333CB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5C2429" w:rsidRPr="00E44294" w:rsidRDefault="005C2429" w:rsidP="005C2429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5C2429" w:rsidRPr="00E44294" w:rsidRDefault="005C2429" w:rsidP="005C2429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C2429" w:rsidRDefault="005C2429" w:rsidP="00C06D4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5C2429" w:rsidRDefault="005C2429" w:rsidP="00C06D4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5C2429" w:rsidRDefault="005C2429" w:rsidP="00C06D4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5C2429" w:rsidRDefault="005C2429" w:rsidP="00C06D4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5C2429" w:rsidRDefault="005C2429" w:rsidP="005C242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5C2429" w:rsidRDefault="005C2429" w:rsidP="005C242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5C2429" w:rsidRDefault="005C2429" w:rsidP="005C242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5C2429" w:rsidRDefault="005C2429" w:rsidP="005C242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5C2429" w:rsidRDefault="005C2429" w:rsidP="005C242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5C2429" w:rsidRDefault="005C2429" w:rsidP="005C2429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5C2429" w:rsidRDefault="005C2429" w:rsidP="005C242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C2429" w:rsidRPr="007949A9" w:rsidRDefault="005C2429" w:rsidP="005C242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C2429" w:rsidRPr="007949A9" w:rsidRDefault="005C2429" w:rsidP="005C2429">
      <w:pPr>
        <w:rPr>
          <w:sz w:val="24"/>
          <w:szCs w:val="24"/>
        </w:rPr>
      </w:pPr>
    </w:p>
    <w:p w:rsidR="005C2429" w:rsidRPr="007949A9" w:rsidRDefault="005C2429" w:rsidP="005C242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5C2429" w:rsidRPr="007949A9" w:rsidRDefault="005C2429" w:rsidP="005C242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C2429" w:rsidRPr="0008556A" w:rsidRDefault="005C2429" w:rsidP="005C2429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5C2429" w:rsidRPr="009A3BC5" w:rsidRDefault="005C2429" w:rsidP="005C2429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5C2429" w:rsidRPr="004E1FCE" w:rsidRDefault="005C2429" w:rsidP="005C2429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5C2429" w:rsidRPr="00B71C95" w:rsidRDefault="005C2429" w:rsidP="005C242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5C2429" w:rsidRDefault="005C2429" w:rsidP="005C2429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CF3896" w:rsidRPr="00A51AE9" w:rsidRDefault="00CF3896" w:rsidP="00CF3896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C215DA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C215D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C215D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C215DA">
            <w:pPr>
              <w:jc w:val="both"/>
              <w:rPr>
                <w:color w:val="000000"/>
              </w:rPr>
            </w:pPr>
          </w:p>
        </w:tc>
      </w:tr>
      <w:tr w:rsidR="001B55E1" w:rsidRPr="00962381" w:rsidTr="00C215DA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C215DA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C215DA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C215DA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C215DA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Pr="00207F3C" w:rsidRDefault="001B55E1" w:rsidP="001B55E1">
      <w:pPr>
        <w:jc w:val="both"/>
        <w:rPr>
          <w:color w:val="000000"/>
        </w:rPr>
      </w:pP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Pr="009A3BC5" w:rsidRDefault="00B8386D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 w:rsidR="00B71C95">
        <w:rPr>
          <w:sz w:val="24"/>
          <w:szCs w:val="24"/>
        </w:rPr>
        <w:t>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CF3896" w:rsidRPr="00A51AE9" w:rsidRDefault="00CF3896" w:rsidP="00CF3896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062194" w:rsidRPr="00B71C95" w:rsidRDefault="00062194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Р-4. Зона баз отдыха, туристических баз, профилакториев.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спорт;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туризм;</w:t>
      </w:r>
    </w:p>
    <w:p w:rsidR="00B8386D" w:rsidRDefault="00B8386D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туристическое обслуживание;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охота и рыбалка.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71C95" w:rsidRDefault="001B55E1" w:rsidP="00B71C95">
      <w:pPr>
        <w:rPr>
          <w:sz w:val="24"/>
          <w:szCs w:val="24"/>
        </w:rPr>
      </w:pPr>
      <w:r>
        <w:t xml:space="preserve">- </w:t>
      </w:r>
      <w:r w:rsidR="00B71C95">
        <w:rPr>
          <w:sz w:val="24"/>
          <w:szCs w:val="24"/>
        </w:rPr>
        <w:t xml:space="preserve"> ветеринарное обслуживание;</w:t>
      </w:r>
    </w:p>
    <w:p w:rsidR="00B71C95" w:rsidRDefault="00B71C95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71C95" w:rsidRDefault="00B71C95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C5D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D14C5D" w:rsidRDefault="00D9565F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обслуживание;</w:t>
      </w:r>
    </w:p>
    <w:p w:rsidR="00D9565F" w:rsidRPr="009A3BC5" w:rsidRDefault="00D9565F" w:rsidP="00D9565F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426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Pr="00B71C95" w:rsidRDefault="001B55E1" w:rsidP="00B71C95">
      <w:pPr>
        <w:widowControl w:val="0"/>
        <w:ind w:right="74"/>
        <w:jc w:val="both"/>
        <w:rPr>
          <w:b/>
          <w:sz w:val="24"/>
          <w:szCs w:val="24"/>
        </w:rPr>
      </w:pPr>
      <w:r w:rsidRPr="00B71C95">
        <w:rPr>
          <w:b/>
          <w:sz w:val="24"/>
          <w:szCs w:val="24"/>
        </w:rPr>
        <w:t>Условно разрешенные виды использования.</w:t>
      </w:r>
    </w:p>
    <w:p w:rsidR="00D14C5D" w:rsidRDefault="00D14C5D" w:rsidP="00D14C5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14C5D" w:rsidRDefault="00D14C5D" w:rsidP="00D14C5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магазины.</w:t>
      </w:r>
    </w:p>
    <w:p w:rsidR="001B55E1" w:rsidRPr="00331906" w:rsidRDefault="001B55E1" w:rsidP="001B55E1">
      <w:pPr>
        <w:ind w:firstLine="709"/>
        <w:jc w:val="both"/>
        <w:rPr>
          <w:color w:val="000000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B8386D" w:rsidRPr="00D14C5D" w:rsidRDefault="00B8386D" w:rsidP="00B8386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8386D" w:rsidRPr="00D14C5D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B8386D" w:rsidRPr="00D14C5D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B8386D" w:rsidRPr="00335566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B8386D" w:rsidRPr="00335566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B8386D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B8386D" w:rsidRPr="00335566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B8386D" w:rsidRPr="00335566" w:rsidRDefault="00B8386D" w:rsidP="00B8386D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B8386D" w:rsidRDefault="00B8386D" w:rsidP="00B8386D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B8386D" w:rsidRDefault="00B8386D" w:rsidP="00B8386D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B8386D" w:rsidRPr="00114B2F" w:rsidRDefault="00B8386D" w:rsidP="00B8386D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B8386D" w:rsidRPr="00335566" w:rsidRDefault="00B8386D" w:rsidP="00B8386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8386D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B8386D" w:rsidRDefault="00B8386D" w:rsidP="00B8386D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335566" w:rsidRDefault="001B55E1" w:rsidP="0033556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335566" w:rsidRPr="00335566" w:rsidRDefault="00335566" w:rsidP="00C0439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1B55E1" w:rsidRPr="00335566" w:rsidRDefault="00335566" w:rsidP="00C0439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335566" w:rsidRPr="00114B2F" w:rsidRDefault="00335566" w:rsidP="00C0439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1B55E1" w:rsidRPr="00335566" w:rsidRDefault="001B55E1" w:rsidP="00335566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ED7E30" w:rsidRPr="00D14C5D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ED7E30" w:rsidRPr="00335566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ED7E30" w:rsidRPr="00335566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ED7E30" w:rsidRPr="00335566" w:rsidRDefault="00ED7E30" w:rsidP="00ED7E30">
      <w:pPr>
        <w:pStyle w:val="Iauiue"/>
        <w:overflowPunct w:val="0"/>
        <w:autoSpaceDE w:val="0"/>
        <w:autoSpaceDN w:val="0"/>
        <w:adjustRightInd w:val="0"/>
        <w:ind w:left="720"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344516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ED7E30" w:rsidRDefault="00D9565F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D9565F" w:rsidRPr="00D9565F" w:rsidRDefault="00D9565F" w:rsidP="00D9565F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СН-2. Зона полигонов ТБО, свалок и скотомогильников.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ED7E30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специальная.</w:t>
      </w:r>
    </w:p>
    <w:p w:rsidR="00ED7E30" w:rsidRPr="00ED7E30" w:rsidRDefault="00ED7E30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710CC9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</w:t>
      </w:r>
      <w:r w:rsidR="001B55E1" w:rsidRPr="009A3B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C215DA" w:rsidRDefault="00720C70" w:rsidP="000621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 w:rsidR="00175BF2">
        <w:rPr>
          <w:sz w:val="24"/>
          <w:szCs w:val="24"/>
        </w:rPr>
        <w:t xml:space="preserve"> </w:t>
      </w:r>
      <w:r w:rsidR="00C215DA">
        <w:rPr>
          <w:sz w:val="24"/>
          <w:szCs w:val="24"/>
        </w:rPr>
        <w:t xml:space="preserve">Решение вступает  </w:t>
      </w:r>
      <w:r w:rsidR="00272DF5">
        <w:rPr>
          <w:sz w:val="24"/>
          <w:szCs w:val="24"/>
        </w:rPr>
        <w:t xml:space="preserve">в </w:t>
      </w:r>
      <w:r w:rsidR="00C215DA">
        <w:rPr>
          <w:sz w:val="24"/>
          <w:szCs w:val="24"/>
        </w:rPr>
        <w:t>силу с момента официального опубликования.</w:t>
      </w:r>
    </w:p>
    <w:p w:rsidR="00720C70" w:rsidRDefault="00C215DA" w:rsidP="000621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5BF2">
        <w:rPr>
          <w:sz w:val="24"/>
          <w:szCs w:val="24"/>
        </w:rPr>
        <w:t>Опубликовать настоящее р</w:t>
      </w:r>
      <w:r w:rsidR="00720C70" w:rsidRPr="00FA2884">
        <w:rPr>
          <w:sz w:val="24"/>
          <w:szCs w:val="24"/>
        </w:rPr>
        <w:t xml:space="preserve">ешение в </w:t>
      </w:r>
      <w:r w:rsidR="00720C70">
        <w:rPr>
          <w:sz w:val="24"/>
          <w:szCs w:val="24"/>
        </w:rPr>
        <w:t xml:space="preserve">газете </w:t>
      </w:r>
      <w:r w:rsidR="00720C70" w:rsidRPr="00FA2884">
        <w:rPr>
          <w:sz w:val="24"/>
          <w:szCs w:val="24"/>
        </w:rPr>
        <w:t>"</w:t>
      </w:r>
      <w:r w:rsidR="00720C70">
        <w:rPr>
          <w:sz w:val="24"/>
          <w:szCs w:val="24"/>
        </w:rPr>
        <w:t>Шалинский в</w:t>
      </w:r>
      <w:r w:rsidR="001A56F2">
        <w:rPr>
          <w:sz w:val="24"/>
          <w:szCs w:val="24"/>
        </w:rPr>
        <w:t>естник</w:t>
      </w:r>
      <w:r w:rsidR="00720C70">
        <w:rPr>
          <w:sz w:val="24"/>
          <w:szCs w:val="24"/>
        </w:rPr>
        <w:t>»</w:t>
      </w:r>
      <w:r w:rsidR="00720C70" w:rsidRPr="00FA2884">
        <w:rPr>
          <w:sz w:val="24"/>
          <w:szCs w:val="24"/>
        </w:rPr>
        <w:t xml:space="preserve"> и </w:t>
      </w:r>
      <w:r w:rsidR="002F2B31">
        <w:rPr>
          <w:sz w:val="24"/>
          <w:szCs w:val="24"/>
        </w:rPr>
        <w:t xml:space="preserve">разместить </w:t>
      </w:r>
      <w:r w:rsidR="00720C70" w:rsidRPr="00FA2884">
        <w:rPr>
          <w:sz w:val="24"/>
          <w:szCs w:val="24"/>
        </w:rPr>
        <w:t xml:space="preserve">на </w:t>
      </w:r>
      <w:r w:rsidR="00062194">
        <w:rPr>
          <w:sz w:val="24"/>
          <w:szCs w:val="24"/>
        </w:rPr>
        <w:t xml:space="preserve">официальном сайте </w:t>
      </w:r>
      <w:r w:rsidR="00720C70">
        <w:rPr>
          <w:sz w:val="24"/>
          <w:szCs w:val="24"/>
        </w:rPr>
        <w:t>Шалинского городского округа.</w:t>
      </w:r>
    </w:p>
    <w:p w:rsidR="00720C70" w:rsidRPr="00720C70" w:rsidRDefault="002F2B31" w:rsidP="00062194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0C70"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20C70"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051A" w:rsidRPr="00FA2884" w:rsidRDefault="00EB051A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</w:t>
      </w:r>
      <w:r w:rsidR="00EB051A">
        <w:rPr>
          <w:sz w:val="24"/>
          <w:szCs w:val="24"/>
        </w:rPr>
        <w:t xml:space="preserve">            </w:t>
      </w:r>
      <w:r w:rsidRPr="00720C70">
        <w:rPr>
          <w:sz w:val="24"/>
          <w:szCs w:val="24"/>
        </w:rPr>
        <w:t xml:space="preserve">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EB051A">
      <w:footerReference w:type="default" r:id="rId9"/>
      <w:footnotePr>
        <w:pos w:val="beneathText"/>
      </w:footnotePr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22" w:rsidRDefault="00021D22">
      <w:r>
        <w:separator/>
      </w:r>
    </w:p>
  </w:endnote>
  <w:endnote w:type="continuationSeparator" w:id="1">
    <w:p w:rsidR="00021D22" w:rsidRDefault="0002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0D" w:rsidRDefault="005F15A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590D" w:rsidRDefault="00A6590D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22" w:rsidRDefault="00021D22">
      <w:r>
        <w:separator/>
      </w:r>
    </w:p>
  </w:footnote>
  <w:footnote w:type="continuationSeparator" w:id="1">
    <w:p w:rsidR="00021D22" w:rsidRDefault="00021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1D22"/>
    <w:rsid w:val="0002657B"/>
    <w:rsid w:val="00030E73"/>
    <w:rsid w:val="00036E5B"/>
    <w:rsid w:val="00041FF3"/>
    <w:rsid w:val="00045604"/>
    <w:rsid w:val="00047561"/>
    <w:rsid w:val="00062194"/>
    <w:rsid w:val="000727CC"/>
    <w:rsid w:val="000A76D6"/>
    <w:rsid w:val="000B43D0"/>
    <w:rsid w:val="000B609C"/>
    <w:rsid w:val="000B7339"/>
    <w:rsid w:val="000E3ACA"/>
    <w:rsid w:val="00106AF8"/>
    <w:rsid w:val="00110841"/>
    <w:rsid w:val="0012070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A56F2"/>
    <w:rsid w:val="001B55E1"/>
    <w:rsid w:val="001D7FC1"/>
    <w:rsid w:val="001E35F5"/>
    <w:rsid w:val="001E61EA"/>
    <w:rsid w:val="00202516"/>
    <w:rsid w:val="00206126"/>
    <w:rsid w:val="002148C6"/>
    <w:rsid w:val="00220FAD"/>
    <w:rsid w:val="00222448"/>
    <w:rsid w:val="00225ABB"/>
    <w:rsid w:val="002336A1"/>
    <w:rsid w:val="002415F6"/>
    <w:rsid w:val="002543DB"/>
    <w:rsid w:val="00272DF5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63902"/>
    <w:rsid w:val="00383C7F"/>
    <w:rsid w:val="003A05A8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747BD"/>
    <w:rsid w:val="0047547B"/>
    <w:rsid w:val="004819A7"/>
    <w:rsid w:val="00493DCC"/>
    <w:rsid w:val="004B7FA5"/>
    <w:rsid w:val="004C0268"/>
    <w:rsid w:val="0054044E"/>
    <w:rsid w:val="00543406"/>
    <w:rsid w:val="00553437"/>
    <w:rsid w:val="00567975"/>
    <w:rsid w:val="005752E9"/>
    <w:rsid w:val="00577C40"/>
    <w:rsid w:val="00577D2C"/>
    <w:rsid w:val="005A17C7"/>
    <w:rsid w:val="005A323B"/>
    <w:rsid w:val="005C0767"/>
    <w:rsid w:val="005C2429"/>
    <w:rsid w:val="005C2810"/>
    <w:rsid w:val="005C48CC"/>
    <w:rsid w:val="005C6D92"/>
    <w:rsid w:val="005F15AF"/>
    <w:rsid w:val="005F75CB"/>
    <w:rsid w:val="006132A9"/>
    <w:rsid w:val="006138BC"/>
    <w:rsid w:val="00613EC4"/>
    <w:rsid w:val="00624BFB"/>
    <w:rsid w:val="0062530F"/>
    <w:rsid w:val="0062544F"/>
    <w:rsid w:val="00625C4C"/>
    <w:rsid w:val="00631AF7"/>
    <w:rsid w:val="006333CB"/>
    <w:rsid w:val="00637015"/>
    <w:rsid w:val="006450A3"/>
    <w:rsid w:val="00651471"/>
    <w:rsid w:val="0065459F"/>
    <w:rsid w:val="00693806"/>
    <w:rsid w:val="00694A10"/>
    <w:rsid w:val="006C5308"/>
    <w:rsid w:val="006D252A"/>
    <w:rsid w:val="006E60D3"/>
    <w:rsid w:val="006F3468"/>
    <w:rsid w:val="00720C70"/>
    <w:rsid w:val="00721C38"/>
    <w:rsid w:val="007317B2"/>
    <w:rsid w:val="00736A7F"/>
    <w:rsid w:val="00740D30"/>
    <w:rsid w:val="00745854"/>
    <w:rsid w:val="00762E66"/>
    <w:rsid w:val="007743A4"/>
    <w:rsid w:val="007949A9"/>
    <w:rsid w:val="007A41F2"/>
    <w:rsid w:val="007C537F"/>
    <w:rsid w:val="007C59E9"/>
    <w:rsid w:val="007D55D3"/>
    <w:rsid w:val="007E7BA6"/>
    <w:rsid w:val="007F5024"/>
    <w:rsid w:val="008062D8"/>
    <w:rsid w:val="00821DE8"/>
    <w:rsid w:val="00824B37"/>
    <w:rsid w:val="00826F1D"/>
    <w:rsid w:val="00853F73"/>
    <w:rsid w:val="008663E2"/>
    <w:rsid w:val="00880140"/>
    <w:rsid w:val="008873C8"/>
    <w:rsid w:val="00892C40"/>
    <w:rsid w:val="00897601"/>
    <w:rsid w:val="008B2BB6"/>
    <w:rsid w:val="008D4D40"/>
    <w:rsid w:val="008E0155"/>
    <w:rsid w:val="008E3F1D"/>
    <w:rsid w:val="0090291B"/>
    <w:rsid w:val="00917DE4"/>
    <w:rsid w:val="00922938"/>
    <w:rsid w:val="00930734"/>
    <w:rsid w:val="009406B1"/>
    <w:rsid w:val="009429E2"/>
    <w:rsid w:val="00957462"/>
    <w:rsid w:val="00967C01"/>
    <w:rsid w:val="00981DF9"/>
    <w:rsid w:val="00983069"/>
    <w:rsid w:val="0098708F"/>
    <w:rsid w:val="00993188"/>
    <w:rsid w:val="009B6CA1"/>
    <w:rsid w:val="009D0BD9"/>
    <w:rsid w:val="009D2678"/>
    <w:rsid w:val="009F1737"/>
    <w:rsid w:val="009F2C2C"/>
    <w:rsid w:val="00A02E2F"/>
    <w:rsid w:val="00A135B6"/>
    <w:rsid w:val="00A3042F"/>
    <w:rsid w:val="00A4137D"/>
    <w:rsid w:val="00A43420"/>
    <w:rsid w:val="00A45766"/>
    <w:rsid w:val="00A46732"/>
    <w:rsid w:val="00A51AE9"/>
    <w:rsid w:val="00A545F2"/>
    <w:rsid w:val="00A6590D"/>
    <w:rsid w:val="00A67647"/>
    <w:rsid w:val="00A746FF"/>
    <w:rsid w:val="00A77C95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386D"/>
    <w:rsid w:val="00B84956"/>
    <w:rsid w:val="00B968D7"/>
    <w:rsid w:val="00BB7855"/>
    <w:rsid w:val="00BB7E8B"/>
    <w:rsid w:val="00BC146D"/>
    <w:rsid w:val="00BC165E"/>
    <w:rsid w:val="00BC45AA"/>
    <w:rsid w:val="00BD665F"/>
    <w:rsid w:val="00BD7F11"/>
    <w:rsid w:val="00C03C19"/>
    <w:rsid w:val="00C04391"/>
    <w:rsid w:val="00C06D49"/>
    <w:rsid w:val="00C134B4"/>
    <w:rsid w:val="00C215DA"/>
    <w:rsid w:val="00C31FD2"/>
    <w:rsid w:val="00C46476"/>
    <w:rsid w:val="00C511FF"/>
    <w:rsid w:val="00C5148E"/>
    <w:rsid w:val="00C54CC6"/>
    <w:rsid w:val="00C65562"/>
    <w:rsid w:val="00C7303C"/>
    <w:rsid w:val="00CA5A6E"/>
    <w:rsid w:val="00CA7D0C"/>
    <w:rsid w:val="00CC411F"/>
    <w:rsid w:val="00CC7125"/>
    <w:rsid w:val="00CD0EE0"/>
    <w:rsid w:val="00CD442E"/>
    <w:rsid w:val="00CF02A3"/>
    <w:rsid w:val="00CF3896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87859"/>
    <w:rsid w:val="00D9565F"/>
    <w:rsid w:val="00D96F0C"/>
    <w:rsid w:val="00DB1869"/>
    <w:rsid w:val="00DC08A3"/>
    <w:rsid w:val="00DC16D2"/>
    <w:rsid w:val="00DD0E1D"/>
    <w:rsid w:val="00DD3DCB"/>
    <w:rsid w:val="00DF154C"/>
    <w:rsid w:val="00E00932"/>
    <w:rsid w:val="00E04709"/>
    <w:rsid w:val="00E06011"/>
    <w:rsid w:val="00E1296A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051A"/>
    <w:rsid w:val="00EB1182"/>
    <w:rsid w:val="00EB7FAE"/>
    <w:rsid w:val="00EC4B51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DC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4055</Words>
  <Characters>23114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31</cp:revision>
  <cp:lastPrinted>2015-12-01T06:43:00Z</cp:lastPrinted>
  <dcterms:created xsi:type="dcterms:W3CDTF">2015-10-19T11:59:00Z</dcterms:created>
  <dcterms:modified xsi:type="dcterms:W3CDTF">2015-12-01T06:43:00Z</dcterms:modified>
</cp:coreProperties>
</file>