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-98425</wp:posOffset>
            </wp:positionV>
            <wp:extent cx="628650" cy="714375"/>
            <wp:effectExtent l="19050" t="0" r="0" b="0"/>
            <wp:wrapTight wrapText="bothSides">
              <wp:wrapPolygon edited="0">
                <wp:start x="-655" y="0"/>
                <wp:lineTo x="-655" y="21312"/>
                <wp:lineTo x="21600" y="21312"/>
                <wp:lineTo x="21600" y="0"/>
                <wp:lineTo x="-65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3A3920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5437D" w:rsidRDefault="00B5437D" w:rsidP="000B43D0">
      <w:pPr>
        <w:rPr>
          <w:sz w:val="24"/>
          <w:szCs w:val="24"/>
        </w:rPr>
      </w:pPr>
    </w:p>
    <w:p w:rsidR="00B5437D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F65FA3">
        <w:rPr>
          <w:sz w:val="24"/>
          <w:szCs w:val="24"/>
        </w:rPr>
        <w:t>30</w:t>
      </w:r>
      <w:r w:rsidR="00A36AF7">
        <w:rPr>
          <w:sz w:val="24"/>
          <w:szCs w:val="24"/>
        </w:rPr>
        <w:t xml:space="preserve"> </w:t>
      </w:r>
      <w:r w:rsidR="005B5D76">
        <w:rPr>
          <w:sz w:val="24"/>
          <w:szCs w:val="24"/>
        </w:rPr>
        <w:t xml:space="preserve"> ноября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</w:t>
      </w:r>
      <w:r w:rsidR="00B5437D">
        <w:rPr>
          <w:sz w:val="24"/>
          <w:szCs w:val="24"/>
        </w:rPr>
        <w:t xml:space="preserve"> 343</w:t>
      </w:r>
    </w:p>
    <w:p w:rsidR="00B5437D" w:rsidRDefault="00B5437D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F65FA3" w:rsidRDefault="000A7553" w:rsidP="00D72CDC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F65FA3">
        <w:rPr>
          <w:b/>
          <w:i/>
          <w:sz w:val="24"/>
          <w:szCs w:val="24"/>
        </w:rPr>
        <w:t>населенного</w:t>
      </w:r>
      <w:r w:rsidR="00B267FA">
        <w:rPr>
          <w:b/>
          <w:i/>
          <w:sz w:val="24"/>
          <w:szCs w:val="24"/>
        </w:rPr>
        <w:t xml:space="preserve"> </w:t>
      </w:r>
      <w:r w:rsidR="00F65FA3">
        <w:rPr>
          <w:b/>
          <w:i/>
          <w:sz w:val="24"/>
          <w:szCs w:val="24"/>
        </w:rPr>
        <w:t>пункта</w:t>
      </w:r>
    </w:p>
    <w:p w:rsidR="00D72CDC" w:rsidRDefault="00F65FA3" w:rsidP="00D72CDC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д</w:t>
      </w:r>
      <w:r w:rsidR="005B5D76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Низ</w:t>
      </w:r>
      <w:r w:rsidR="009C0BF4">
        <w:rPr>
          <w:b/>
          <w:i/>
          <w:sz w:val="24"/>
          <w:szCs w:val="24"/>
        </w:rPr>
        <w:t xml:space="preserve"> </w:t>
      </w:r>
      <w:r w:rsidR="000A7553">
        <w:rPr>
          <w:b/>
          <w:i/>
          <w:sz w:val="24"/>
          <w:szCs w:val="24"/>
        </w:rPr>
        <w:t xml:space="preserve"> </w:t>
      </w:r>
      <w:r w:rsidR="000A7553" w:rsidRPr="002A6232">
        <w:rPr>
          <w:b/>
          <w:i/>
          <w:sz w:val="24"/>
          <w:szCs w:val="24"/>
        </w:rPr>
        <w:t>Шалинского городского округа</w:t>
      </w:r>
      <w:r w:rsidR="000A755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</w:t>
      </w:r>
      <w:r w:rsidR="00D72CDC" w:rsidRPr="004D7AB2">
        <w:rPr>
          <w:b/>
          <w:i/>
          <w:sz w:val="24"/>
          <w:szCs w:val="24"/>
        </w:rPr>
        <w:t xml:space="preserve">от </w:t>
      </w:r>
      <w:r w:rsidR="00D72CDC">
        <w:rPr>
          <w:b/>
          <w:i/>
          <w:sz w:val="24"/>
          <w:szCs w:val="24"/>
        </w:rPr>
        <w:t>31.01.</w:t>
      </w:r>
      <w:r w:rsidR="00D72CDC" w:rsidRPr="004D7AB2">
        <w:rPr>
          <w:b/>
          <w:i/>
          <w:sz w:val="24"/>
          <w:szCs w:val="24"/>
        </w:rPr>
        <w:t>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4D7AB2">
        <w:rPr>
          <w:b/>
          <w:i/>
          <w:color w:val="000000"/>
          <w:sz w:val="24"/>
          <w:szCs w:val="24"/>
        </w:rPr>
        <w:t>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 xml:space="preserve">Правила землепользования и застройки </w:t>
      </w:r>
      <w:r w:rsidR="00F65FA3">
        <w:rPr>
          <w:sz w:val="24"/>
          <w:szCs w:val="24"/>
        </w:rPr>
        <w:t>населенного пункта д. Низ</w:t>
      </w:r>
      <w:r w:rsidR="000A7553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</w:t>
      </w:r>
      <w:r w:rsidR="00D72CDC" w:rsidRPr="00D72CDC">
        <w:rPr>
          <w:sz w:val="24"/>
          <w:szCs w:val="24"/>
        </w:rPr>
        <w:t xml:space="preserve"> 31.01. 2013 года № 105 «Об утверждении Генерального плана, Правил землепользования и застройки Шалинского городского округа применительно к территории с.Платоново, д.Коптелы, д.Симонята, с.Крюк, с.Роща, д.Ижболда, д.Кедровка, д.Климино, д.Лом, д.Низ, д.Павлы, п.Тепляки, п.Колпаковка, п.Унь, п.Вогулка, п.Козьял</w:t>
      </w:r>
      <w:r w:rsidR="00D72CDC" w:rsidRPr="00D72CDC">
        <w:rPr>
          <w:color w:val="000000"/>
          <w:sz w:val="24"/>
          <w:szCs w:val="24"/>
        </w:rPr>
        <w:t>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lastRenderedPageBreak/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A36AF7" w:rsidRPr="00A51AE9" w:rsidRDefault="00A36AF7" w:rsidP="00A36AF7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A36AF7" w:rsidRDefault="00A36AF7" w:rsidP="00A36AF7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A36AF7" w:rsidRDefault="00A36AF7" w:rsidP="00A36AF7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A36AF7" w:rsidRPr="00D36356" w:rsidRDefault="00A36AF7" w:rsidP="00A36AF7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4977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>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191BC8" w:rsidRDefault="001B55E1" w:rsidP="001B55E1">
      <w:pPr>
        <w:pStyle w:val="4"/>
        <w:ind w:right="72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1B55E1">
      <w:pPr>
        <w:pStyle w:val="5"/>
        <w:ind w:right="72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объектов промышленного, коммунального и складского назначения с различной степенью воздействия на окружающую среду</w:t>
      </w:r>
      <w:r w:rsidRPr="00191BC8">
        <w:rPr>
          <w:b/>
          <w:color w:val="auto"/>
        </w:rPr>
        <w:t>.</w:t>
      </w:r>
    </w:p>
    <w:p w:rsidR="00A36AF7" w:rsidRDefault="00A36AF7" w:rsidP="00A36AF7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1897307"/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A36AF7" w:rsidRDefault="00A36AF7" w:rsidP="00A36AF7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1F1218" w:rsidRDefault="001F1218" w:rsidP="001F121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A36AF7" w:rsidRDefault="00A36AF7" w:rsidP="00A36AF7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B267FA" w:rsidRDefault="00B267FA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267FA" w:rsidRPr="00B267FA" w:rsidRDefault="00B267FA" w:rsidP="00B267FA">
      <w:pPr>
        <w:ind w:right="-5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Площадь участков, предназначенных для озеленения в пределах ограды предприятия, следует определять из расчета не менее </w:t>
      </w:r>
      <w:smartTag w:uri="urn:schemas-microsoft-com:office:smarttags" w:element="metricconverter">
        <w:smartTagPr>
          <w:attr w:name="ProductID" w:val="3 м2"/>
        </w:smartTagPr>
        <w:r w:rsidRPr="00B267FA">
          <w:rPr>
            <w:sz w:val="24"/>
            <w:szCs w:val="24"/>
          </w:rPr>
          <w:t>3 м</w:t>
        </w:r>
        <w:r w:rsidRPr="00B267FA">
          <w:rPr>
            <w:sz w:val="24"/>
            <w:szCs w:val="24"/>
            <w:vertAlign w:val="superscript"/>
          </w:rPr>
          <w:t>2</w:t>
        </w:r>
      </w:smartTag>
      <w:r w:rsidRPr="00B267FA">
        <w:rPr>
          <w:sz w:val="24"/>
          <w:szCs w:val="24"/>
        </w:rPr>
        <w:t xml:space="preserve"> на одного работающего в наиболее многочисленной смене. Предельный размер участков, предназначенных для озеленения, не должен превышать 15% площадки предприятия;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Производственные территории следует преобразовывать с учетом примыкания к территориям иного функционального назначения: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В полосе примыкания производственных зон к общественным территориям следует размещать общественно-административные («предзаводские» по терминологии СНиП II-89-80*) части производственных территорий, включая их в формирование общественных центров и зон;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В полосе примыкания к жилым территориям не следует оформлять границы производственного участка глухим забором, рекомендуется использование входящей в состав СЗЗ полосы примыкания для размещения коммунальных объектов жилого района, многоэтажных гаражей-стоянок различных типов, зеленых насаждений;</w:t>
      </w:r>
    </w:p>
    <w:p w:rsidR="00B267FA" w:rsidRPr="00B267FA" w:rsidRDefault="00B267FA" w:rsidP="00B267FA">
      <w:pPr>
        <w:ind w:right="-5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   Не менее 20% от объема наземной части производственной застройки в примагистральной полосе следует размещать в подземном уровне (аварийные службы водопровода, канализации, ремонтные участки и стоянки малогабаритных машин механической уборки территорий).</w:t>
      </w:r>
    </w:p>
    <w:p w:rsidR="00B267FA" w:rsidRPr="00B267FA" w:rsidRDefault="00B267FA" w:rsidP="00B267FA">
      <w:pPr>
        <w:pStyle w:val="nienie"/>
        <w:ind w:right="72"/>
        <w:rPr>
          <w:rFonts w:ascii="Times New Roman" w:hAnsi="Times New Roman"/>
          <w:szCs w:val="24"/>
        </w:rPr>
      </w:pPr>
    </w:p>
    <w:bookmarkEnd w:id="0"/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A36AF7" w:rsidRPr="00E44294" w:rsidRDefault="00A36AF7" w:rsidP="00A36AF7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A36AF7" w:rsidRDefault="00A36AF7" w:rsidP="00A36AF7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A36AF7" w:rsidRDefault="00A36AF7" w:rsidP="00A36AF7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A36AF7" w:rsidRDefault="00A36AF7" w:rsidP="00A36AF7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A36AF7" w:rsidRPr="007949A9" w:rsidRDefault="00A36AF7" w:rsidP="00A36AF7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Default="00B267FA" w:rsidP="007949A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67FA" w:rsidRPr="00B267FA" w:rsidRDefault="00B267FA" w:rsidP="00B267FA">
      <w:pPr>
        <w:pStyle w:val="ConsNormal"/>
        <w:ind w:right="7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67FA">
        <w:rPr>
          <w:rFonts w:ascii="Times New Roman" w:hAnsi="Times New Roman" w:cs="Times New Roman"/>
          <w:sz w:val="24"/>
          <w:szCs w:val="24"/>
        </w:rPr>
        <w:t xml:space="preserve">                  Расстояния от зданий и сооружений до зеленых насаждений следует принимать в соответствии с Нормативами градостроительного проектирования Свердловской области при условии 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 xml:space="preserve">беспрепятственного подъезда и работы пожарного автотранспорта; </w:t>
      </w:r>
      <w:r w:rsidRPr="00B267FA">
        <w:rPr>
          <w:rFonts w:ascii="Times New Roman" w:hAnsi="Times New Roman" w:cs="Times New Roman"/>
          <w:sz w:val="24"/>
          <w:szCs w:val="24"/>
        </w:rPr>
        <w:t>от воздушных линий электропередачи – в соответствии с ПУЭ</w:t>
      </w:r>
      <w:r w:rsidRPr="00B267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267FA" w:rsidRPr="00B267FA" w:rsidRDefault="00B267FA" w:rsidP="00B267FA">
      <w:pPr>
        <w:pStyle w:val="ConsNormal"/>
        <w:ind w:right="7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569"/>
        <w:gridCol w:w="1712"/>
      </w:tblGrid>
      <w:tr w:rsidR="00B267FA" w:rsidRPr="00B267FA" w:rsidTr="00980B3B">
        <w:trPr>
          <w:trHeight w:val="508"/>
        </w:trPr>
        <w:tc>
          <w:tcPr>
            <w:tcW w:w="6804" w:type="dxa"/>
            <w:vMerge w:val="restart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Здание, сооружение</w:t>
            </w:r>
          </w:p>
        </w:tc>
        <w:tc>
          <w:tcPr>
            <w:tcW w:w="3281" w:type="dxa"/>
            <w:gridSpan w:val="2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b/>
                <w:sz w:val="24"/>
                <w:szCs w:val="24"/>
              </w:rPr>
            </w:pPr>
            <w:r w:rsidRPr="00B267FA">
              <w:rPr>
                <w:b/>
                <w:sz w:val="24"/>
                <w:szCs w:val="24"/>
              </w:rPr>
              <w:t>Расстояния, м, от здания, сооружения, объекта до оси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vMerge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кустарника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5,0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</w:tr>
      <w:tr w:rsidR="00B267FA" w:rsidRPr="00B267FA" w:rsidTr="00980B3B">
        <w:trPr>
          <w:trHeight w:val="22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367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4,0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bottom w:val="single" w:sz="4" w:space="0" w:color="auto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0,5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569" w:type="dxa"/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3,0</w:t>
            </w:r>
          </w:p>
        </w:tc>
        <w:tc>
          <w:tcPr>
            <w:tcW w:w="1712" w:type="dxa"/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365"/>
        </w:trPr>
        <w:tc>
          <w:tcPr>
            <w:tcW w:w="6804" w:type="dxa"/>
            <w:tcBorders>
              <w:bottom w:val="nil"/>
            </w:tcBorders>
          </w:tcPr>
          <w:p w:rsidR="00B267FA" w:rsidRPr="00B267FA" w:rsidRDefault="00B267FA" w:rsidP="00980B3B">
            <w:pPr>
              <w:widowControl w:val="0"/>
              <w:ind w:left="57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 xml:space="preserve">Подземные сети: </w:t>
            </w:r>
          </w:p>
          <w:p w:rsidR="00B267FA" w:rsidRPr="00B267FA" w:rsidRDefault="00B267FA" w:rsidP="00980B3B">
            <w:pPr>
              <w:widowControl w:val="0"/>
              <w:ind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газопровод, канализация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1,5</w:t>
            </w:r>
          </w:p>
        </w:tc>
        <w:tc>
          <w:tcPr>
            <w:tcW w:w="1712" w:type="dxa"/>
            <w:tcBorders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</w:p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567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1,0</w:t>
            </w:r>
          </w:p>
        </w:tc>
      </w:tr>
      <w:tr w:rsidR="00B267FA" w:rsidRPr="00B267FA" w:rsidTr="00980B3B">
        <w:trPr>
          <w:trHeight w:val="284"/>
        </w:trPr>
        <w:tc>
          <w:tcPr>
            <w:tcW w:w="6804" w:type="dxa"/>
            <w:tcBorders>
              <w:top w:val="nil"/>
              <w:bottom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водопровод, дренаж</w:t>
            </w:r>
          </w:p>
        </w:tc>
        <w:tc>
          <w:tcPr>
            <w:tcW w:w="1569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  <w:bottom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noBreakHyphen/>
            </w:r>
          </w:p>
        </w:tc>
      </w:tr>
      <w:tr w:rsidR="00B267FA" w:rsidRPr="00B267FA" w:rsidTr="00980B3B">
        <w:trPr>
          <w:trHeight w:val="312"/>
        </w:trPr>
        <w:tc>
          <w:tcPr>
            <w:tcW w:w="6804" w:type="dxa"/>
            <w:tcBorders>
              <w:top w:val="nil"/>
            </w:tcBorders>
          </w:tcPr>
          <w:p w:rsidR="00B267FA" w:rsidRPr="00B267FA" w:rsidRDefault="00B267FA" w:rsidP="00980B3B">
            <w:pPr>
              <w:widowControl w:val="0"/>
              <w:ind w:left="386" w:right="72" w:hanging="57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569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2,0</w:t>
            </w:r>
          </w:p>
        </w:tc>
        <w:tc>
          <w:tcPr>
            <w:tcW w:w="1712" w:type="dxa"/>
            <w:tcBorders>
              <w:top w:val="nil"/>
            </w:tcBorders>
            <w:vAlign w:val="center"/>
          </w:tcPr>
          <w:p w:rsidR="00B267FA" w:rsidRPr="00B267FA" w:rsidRDefault="00B267FA" w:rsidP="00980B3B">
            <w:pPr>
              <w:widowControl w:val="0"/>
              <w:ind w:right="72" w:firstLine="2"/>
              <w:jc w:val="center"/>
              <w:rPr>
                <w:sz w:val="24"/>
                <w:szCs w:val="24"/>
              </w:rPr>
            </w:pPr>
            <w:r w:rsidRPr="00B267FA">
              <w:rPr>
                <w:sz w:val="24"/>
                <w:szCs w:val="24"/>
              </w:rPr>
              <w:t>0,7</w:t>
            </w:r>
          </w:p>
        </w:tc>
      </w:tr>
    </w:tbl>
    <w:p w:rsidR="00B267FA" w:rsidRPr="00B267FA" w:rsidRDefault="00B267FA" w:rsidP="00B267FA">
      <w:pPr>
        <w:widowControl w:val="0"/>
        <w:ind w:right="72" w:firstLine="567"/>
        <w:jc w:val="both"/>
        <w:rPr>
          <w:spacing w:val="40"/>
          <w:sz w:val="24"/>
          <w:szCs w:val="24"/>
        </w:rPr>
      </w:pPr>
      <w:r w:rsidRPr="00B267FA">
        <w:rPr>
          <w:spacing w:val="40"/>
          <w:sz w:val="24"/>
          <w:szCs w:val="24"/>
        </w:rPr>
        <w:t>Примечания: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B267FA">
          <w:rPr>
            <w:sz w:val="24"/>
            <w:szCs w:val="24"/>
          </w:rPr>
          <w:t>5 м</w:t>
        </w:r>
      </w:smartTag>
      <w:r w:rsidRPr="00B267FA">
        <w:rPr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2.Деревья, высаживаемые у зданий, не должны препятствовать инсоляции и освещенности жилых и общественных помещений.</w:t>
      </w:r>
    </w:p>
    <w:p w:rsidR="00B267FA" w:rsidRPr="00B267FA" w:rsidRDefault="00B267FA" w:rsidP="00B267FA">
      <w:pPr>
        <w:widowControl w:val="0"/>
        <w:ind w:right="72" w:firstLine="567"/>
        <w:jc w:val="both"/>
        <w:rPr>
          <w:sz w:val="24"/>
          <w:szCs w:val="24"/>
        </w:rPr>
      </w:pPr>
      <w:r w:rsidRPr="00B267FA">
        <w:rPr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9860D1" w:rsidRPr="00D14C5D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9860D1" w:rsidRPr="00335566" w:rsidRDefault="009860D1" w:rsidP="009860D1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9860D1" w:rsidRDefault="009860D1" w:rsidP="009860D1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9860D1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9860D1" w:rsidRPr="00114B2F" w:rsidRDefault="009860D1" w:rsidP="009860D1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9860D1" w:rsidRDefault="009860D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5B5D76" w:rsidRPr="00335566" w:rsidRDefault="005B5D76" w:rsidP="005B5D76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СХ-2 Зона агропромышленных предприятий.</w:t>
      </w:r>
    </w:p>
    <w:p w:rsidR="009860D1" w:rsidRPr="00335566" w:rsidRDefault="009860D1" w:rsidP="009860D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сельскохозяйственное использование;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животноводство;</w:t>
      </w:r>
    </w:p>
    <w:p w:rsidR="009860D1" w:rsidRPr="00114B2F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хранение и переработка сельскохозяйственной продукции.</w:t>
      </w:r>
    </w:p>
    <w:p w:rsidR="009860D1" w:rsidRPr="00335566" w:rsidRDefault="009860D1" w:rsidP="009860D1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9860D1" w:rsidRPr="00D14C5D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9860D1" w:rsidRPr="00335566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ветеринарное обслуживание;</w:t>
      </w:r>
    </w:p>
    <w:p w:rsidR="009860D1" w:rsidRDefault="009860D1" w:rsidP="009860D1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обслуживание.</w:t>
      </w:r>
    </w:p>
    <w:p w:rsidR="00B267FA" w:rsidRPr="00114B2F" w:rsidRDefault="00B267FA" w:rsidP="00B267FA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</w:t>
      </w:r>
      <w:r>
        <w:rPr>
          <w:sz w:val="24"/>
          <w:szCs w:val="24"/>
        </w:rPr>
        <w:t>2</w:t>
      </w:r>
      <w:r w:rsidRPr="00114B2F">
        <w:rPr>
          <w:sz w:val="24"/>
          <w:szCs w:val="24"/>
        </w:rPr>
        <w:t xml:space="preserve"> устанавливаются в соответствии с утвержденной документацией по планировке территории.</w:t>
      </w:r>
    </w:p>
    <w:p w:rsidR="001B55E1" w:rsidRPr="00114B2F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15D17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15D17" w:rsidRDefault="00515D17" w:rsidP="00515D17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</w:t>
      </w:r>
    </w:p>
    <w:p w:rsidR="00B267FA" w:rsidRDefault="00515D17" w:rsidP="00515D17">
      <w:pPr>
        <w:rPr>
          <w:sz w:val="24"/>
          <w:szCs w:val="24"/>
        </w:rPr>
      </w:pPr>
      <w:r w:rsidRPr="00D9565F">
        <w:rPr>
          <w:sz w:val="24"/>
          <w:szCs w:val="24"/>
        </w:rPr>
        <w:t>- магазины.</w:t>
      </w:r>
    </w:p>
    <w:p w:rsidR="00B267FA" w:rsidRDefault="00B267FA" w:rsidP="00515D17">
      <w:pPr>
        <w:rPr>
          <w:sz w:val="24"/>
          <w:szCs w:val="24"/>
        </w:rPr>
      </w:pPr>
    </w:p>
    <w:p w:rsidR="00B267FA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>При отсутствии необходимых гидрогеологических условий рекомендуется проводить инженерную подготовку территории будущего кладбища, включающую осушение территорий, устройство дренажей, засыпку на поверхность мелкозернистых сухих грунтов;</w:t>
      </w:r>
    </w:p>
    <w:p w:rsidR="00B267FA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Для всех типов кладбищ площадь мест захоронения должна составлять не менее 65-75% от общей площади кладбища, а площадь зеленых насаждений - не менее 25%;</w:t>
      </w:r>
    </w:p>
    <w:p w:rsidR="00B267FA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        Территорию кладбища независимо от способа захоронения следует подразделять на функциональные зоны: входную, ритуальную, административно-хозяйственную, захоронений, моральной (зеленой) защиты по периметру кладбища;</w:t>
      </w:r>
    </w:p>
    <w:p w:rsidR="001B55E1" w:rsidRPr="00B267FA" w:rsidRDefault="00B267FA" w:rsidP="00B267FA">
      <w:pPr>
        <w:jc w:val="both"/>
        <w:rPr>
          <w:sz w:val="24"/>
          <w:szCs w:val="24"/>
        </w:rPr>
      </w:pPr>
      <w:r w:rsidRPr="00B267FA">
        <w:rPr>
          <w:sz w:val="24"/>
          <w:szCs w:val="24"/>
        </w:rPr>
        <w:t xml:space="preserve">Размеры участков кладбищ должны быть не менее </w:t>
      </w:r>
      <w:smartTag w:uri="urn:schemas-microsoft-com:office:smarttags" w:element="metricconverter">
        <w:smartTagPr>
          <w:attr w:name="ProductID" w:val="0,5 га"/>
        </w:smartTagPr>
        <w:r w:rsidRPr="00B267FA">
          <w:rPr>
            <w:sz w:val="24"/>
            <w:szCs w:val="24"/>
          </w:rPr>
          <w:t>0,5 га</w:t>
        </w:r>
      </w:smartTag>
      <w:r w:rsidRPr="00B267FA">
        <w:rPr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40 га"/>
        </w:smartTagPr>
        <w:r w:rsidRPr="00B267FA">
          <w:rPr>
            <w:sz w:val="24"/>
            <w:szCs w:val="24"/>
          </w:rPr>
          <w:t>40 га</w:t>
        </w:r>
      </w:smartTag>
      <w:r w:rsidRPr="00B267FA">
        <w:rPr>
          <w:sz w:val="24"/>
          <w:szCs w:val="24"/>
        </w:rPr>
        <w:t>.</w:t>
      </w:r>
      <w:r w:rsidR="00965751" w:rsidRPr="00B267FA">
        <w:rPr>
          <w:sz w:val="24"/>
          <w:szCs w:val="24"/>
        </w:rPr>
        <w:t>».</w:t>
      </w:r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    </w:t>
      </w:r>
      <w:r w:rsidR="00B5437D">
        <w:rPr>
          <w:sz w:val="24"/>
          <w:szCs w:val="24"/>
        </w:rPr>
        <w:t xml:space="preserve">               </w:t>
      </w:r>
      <w:r w:rsidR="00720C70">
        <w:rPr>
          <w:sz w:val="24"/>
          <w:szCs w:val="24"/>
        </w:rPr>
        <w:t xml:space="preserve">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720C70">
      <w:footerReference w:type="default" r:id="rId9"/>
      <w:footnotePr>
        <w:pos w:val="beneathText"/>
      </w:footnotePr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B7B" w:rsidRDefault="00777B7B">
      <w:r>
        <w:separator/>
      </w:r>
    </w:p>
  </w:endnote>
  <w:endnote w:type="continuationSeparator" w:id="1">
    <w:p w:rsidR="00777B7B" w:rsidRDefault="00777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6" w:rsidRDefault="00BA3260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5B5D76" w:rsidRDefault="005B5D76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B7B" w:rsidRDefault="00777B7B">
      <w:r>
        <w:separator/>
      </w:r>
    </w:p>
  </w:footnote>
  <w:footnote w:type="continuationSeparator" w:id="1">
    <w:p w:rsidR="00777B7B" w:rsidRDefault="00777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8294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E3ACA"/>
    <w:rsid w:val="000E6A41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506F"/>
    <w:rsid w:val="001E61EA"/>
    <w:rsid w:val="001F1218"/>
    <w:rsid w:val="00206126"/>
    <w:rsid w:val="002148C6"/>
    <w:rsid w:val="00220FAD"/>
    <w:rsid w:val="00222448"/>
    <w:rsid w:val="00225ABB"/>
    <w:rsid w:val="002336A1"/>
    <w:rsid w:val="002415F6"/>
    <w:rsid w:val="002543DB"/>
    <w:rsid w:val="00287B15"/>
    <w:rsid w:val="002A6232"/>
    <w:rsid w:val="002B1D5A"/>
    <w:rsid w:val="002C1A27"/>
    <w:rsid w:val="002C5E9E"/>
    <w:rsid w:val="002D02CF"/>
    <w:rsid w:val="002D23BD"/>
    <w:rsid w:val="002E1779"/>
    <w:rsid w:val="002F2B31"/>
    <w:rsid w:val="002F3AF4"/>
    <w:rsid w:val="003013BD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A3920"/>
    <w:rsid w:val="003B3BA1"/>
    <w:rsid w:val="003C3654"/>
    <w:rsid w:val="003D167C"/>
    <w:rsid w:val="003D3A43"/>
    <w:rsid w:val="003D554E"/>
    <w:rsid w:val="003E712C"/>
    <w:rsid w:val="003F0E7E"/>
    <w:rsid w:val="003F428C"/>
    <w:rsid w:val="00410D5F"/>
    <w:rsid w:val="00413479"/>
    <w:rsid w:val="00426D96"/>
    <w:rsid w:val="00427E2B"/>
    <w:rsid w:val="00486B32"/>
    <w:rsid w:val="00493DCC"/>
    <w:rsid w:val="004C0268"/>
    <w:rsid w:val="00501264"/>
    <w:rsid w:val="00515D17"/>
    <w:rsid w:val="0054044E"/>
    <w:rsid w:val="00553437"/>
    <w:rsid w:val="00567975"/>
    <w:rsid w:val="005752E9"/>
    <w:rsid w:val="00577C40"/>
    <w:rsid w:val="005A17C7"/>
    <w:rsid w:val="005A323B"/>
    <w:rsid w:val="005B5D76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94A10"/>
    <w:rsid w:val="006964EC"/>
    <w:rsid w:val="006C5308"/>
    <w:rsid w:val="006D252A"/>
    <w:rsid w:val="006E60D3"/>
    <w:rsid w:val="00701033"/>
    <w:rsid w:val="00720C70"/>
    <w:rsid w:val="00721C38"/>
    <w:rsid w:val="007317B2"/>
    <w:rsid w:val="00736A7F"/>
    <w:rsid w:val="00740D30"/>
    <w:rsid w:val="00745854"/>
    <w:rsid w:val="00762E66"/>
    <w:rsid w:val="00777B7B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2219"/>
    <w:rsid w:val="008F32FF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60D1"/>
    <w:rsid w:val="0098708F"/>
    <w:rsid w:val="00993188"/>
    <w:rsid w:val="009B6CA1"/>
    <w:rsid w:val="009C0BF4"/>
    <w:rsid w:val="009D04DA"/>
    <w:rsid w:val="009D199E"/>
    <w:rsid w:val="009D2678"/>
    <w:rsid w:val="009F1737"/>
    <w:rsid w:val="009F2C2C"/>
    <w:rsid w:val="00A135B6"/>
    <w:rsid w:val="00A3042F"/>
    <w:rsid w:val="00A34DB8"/>
    <w:rsid w:val="00A36AF7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77AE7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267FA"/>
    <w:rsid w:val="00B36D95"/>
    <w:rsid w:val="00B41D70"/>
    <w:rsid w:val="00B53773"/>
    <w:rsid w:val="00B5437D"/>
    <w:rsid w:val="00B57503"/>
    <w:rsid w:val="00B66035"/>
    <w:rsid w:val="00B6794B"/>
    <w:rsid w:val="00B71C95"/>
    <w:rsid w:val="00B80796"/>
    <w:rsid w:val="00B84956"/>
    <w:rsid w:val="00B968D7"/>
    <w:rsid w:val="00BA3260"/>
    <w:rsid w:val="00BB7855"/>
    <w:rsid w:val="00BB7E8B"/>
    <w:rsid w:val="00BC146D"/>
    <w:rsid w:val="00BC45AA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36356"/>
    <w:rsid w:val="00D40A01"/>
    <w:rsid w:val="00D52A45"/>
    <w:rsid w:val="00D72CDC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2150"/>
    <w:rsid w:val="00ED7E30"/>
    <w:rsid w:val="00F05B38"/>
    <w:rsid w:val="00F05BD9"/>
    <w:rsid w:val="00F162A3"/>
    <w:rsid w:val="00F314A3"/>
    <w:rsid w:val="00F34835"/>
    <w:rsid w:val="00F42E7F"/>
    <w:rsid w:val="00F46668"/>
    <w:rsid w:val="00F65FA3"/>
    <w:rsid w:val="00F6764D"/>
    <w:rsid w:val="00F76AEA"/>
    <w:rsid w:val="00F843DE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294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paragraph" w:customStyle="1" w:styleId="14">
    <w:name w:val="Знак1"/>
    <w:basedOn w:val="a"/>
    <w:rsid w:val="00B267FA"/>
    <w:pPr>
      <w:tabs>
        <w:tab w:val="num" w:pos="432"/>
      </w:tabs>
      <w:suppressAutoHyphens w:val="0"/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ConsNormal">
    <w:name w:val="ConsNormal"/>
    <w:rsid w:val="00B2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FFB1-2AFD-4BDF-AA04-5DE545D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2425</Words>
  <Characters>13823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6</cp:revision>
  <cp:lastPrinted>2015-12-01T06:38:00Z</cp:lastPrinted>
  <dcterms:created xsi:type="dcterms:W3CDTF">2015-11-16T10:39:00Z</dcterms:created>
  <dcterms:modified xsi:type="dcterms:W3CDTF">2015-12-01T06:39:00Z</dcterms:modified>
</cp:coreProperties>
</file>